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3CB11" w14:textId="77777777" w:rsidR="003C4032" w:rsidRPr="00252C06" w:rsidRDefault="003C4032" w:rsidP="00402ACA">
      <w:pPr>
        <w:tabs>
          <w:tab w:val="center" w:pos="4536"/>
          <w:tab w:val="right" w:pos="9072"/>
        </w:tabs>
        <w:spacing w:after="0" w:line="240" w:lineRule="auto"/>
        <w:jc w:val="right"/>
        <w:rPr>
          <w:rFonts w:ascii="Times New Roman" w:eastAsia="Calibri" w:hAnsi="Times New Roman"/>
          <w:b/>
          <w:i/>
          <w:sz w:val="24"/>
          <w:szCs w:val="24"/>
          <w:highlight w:val="yellow"/>
        </w:rPr>
      </w:pPr>
    </w:p>
    <w:p w14:paraId="7520FFC5" w14:textId="2EA0AAFD" w:rsidR="00402ACA" w:rsidRPr="00252C06"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252C06">
        <w:rPr>
          <w:rFonts w:ascii="Times New Roman" w:eastAsia="Calibri" w:hAnsi="Times New Roman"/>
          <w:b/>
          <w:i/>
          <w:sz w:val="24"/>
          <w:szCs w:val="24"/>
        </w:rPr>
        <w:t>Приложение</w:t>
      </w:r>
      <w:r w:rsidR="00522F04" w:rsidRPr="00252C06">
        <w:rPr>
          <w:rFonts w:ascii="Times New Roman" w:eastAsia="Calibri" w:hAnsi="Times New Roman"/>
          <w:b/>
          <w:i/>
          <w:sz w:val="24"/>
          <w:szCs w:val="24"/>
        </w:rPr>
        <w:t xml:space="preserve"> 1</w:t>
      </w:r>
      <w:r w:rsidR="009D5AFE">
        <w:rPr>
          <w:rFonts w:ascii="Times New Roman" w:eastAsia="Calibri" w:hAnsi="Times New Roman"/>
          <w:b/>
          <w:i/>
          <w:sz w:val="24"/>
          <w:szCs w:val="24"/>
        </w:rPr>
        <w:t>4</w:t>
      </w:r>
      <w:r w:rsidR="00A14DCD" w:rsidRPr="00252C06">
        <w:rPr>
          <w:rFonts w:ascii="Times New Roman" w:eastAsia="Calibri" w:hAnsi="Times New Roman"/>
          <w:b/>
          <w:i/>
          <w:sz w:val="24"/>
          <w:szCs w:val="24"/>
        </w:rPr>
        <w:t>.</w:t>
      </w:r>
      <w:r w:rsidR="00E16A1F">
        <w:rPr>
          <w:rFonts w:ascii="Times New Roman" w:eastAsia="Calibri" w:hAnsi="Times New Roman"/>
          <w:b/>
          <w:i/>
          <w:sz w:val="24"/>
          <w:szCs w:val="24"/>
        </w:rPr>
        <w:t>3</w:t>
      </w:r>
      <w:bookmarkStart w:id="0" w:name="_GoBack"/>
      <w:bookmarkEnd w:id="0"/>
    </w:p>
    <w:p w14:paraId="0E012626" w14:textId="77777777" w:rsidR="00402ACA" w:rsidRPr="00252C06" w:rsidRDefault="00402ACA" w:rsidP="00402ACA">
      <w:pPr>
        <w:spacing w:after="120" w:line="276" w:lineRule="auto"/>
        <w:jc w:val="both"/>
        <w:rPr>
          <w:rFonts w:ascii="Times New Roman" w:hAnsi="Times New Roman"/>
          <w:sz w:val="24"/>
          <w:szCs w:val="24"/>
        </w:rPr>
      </w:pPr>
    </w:p>
    <w:p w14:paraId="5D2143C3" w14:textId="77777777" w:rsidR="00402ACA" w:rsidRPr="00252C06" w:rsidRDefault="003F11B3" w:rsidP="00E44CEF">
      <w:pPr>
        <w:spacing w:after="120" w:line="276" w:lineRule="auto"/>
        <w:jc w:val="center"/>
        <w:rPr>
          <w:rFonts w:ascii="Times New Roman" w:hAnsi="Times New Roman"/>
          <w:b/>
          <w:sz w:val="24"/>
          <w:szCs w:val="24"/>
        </w:rPr>
      </w:pPr>
      <w:r w:rsidRPr="00252C06">
        <w:rPr>
          <w:rFonts w:ascii="Times New Roman" w:hAnsi="Times New Roman"/>
          <w:b/>
          <w:sz w:val="24"/>
          <w:szCs w:val="24"/>
        </w:rPr>
        <w:t>ИНФОРМАЦИЯ ОТ</w:t>
      </w:r>
      <w:r w:rsidR="00971248" w:rsidRPr="00252C06">
        <w:rPr>
          <w:rFonts w:ascii="Times New Roman" w:hAnsi="Times New Roman"/>
          <w:b/>
          <w:sz w:val="24"/>
          <w:szCs w:val="24"/>
        </w:rPr>
        <w:t>Н</w:t>
      </w:r>
      <w:r w:rsidRPr="00252C06">
        <w:rPr>
          <w:rFonts w:ascii="Times New Roman" w:hAnsi="Times New Roman"/>
          <w:b/>
          <w:sz w:val="24"/>
          <w:szCs w:val="24"/>
        </w:rPr>
        <w:t xml:space="preserve">ОСНО СПАЗВАНЕ НА </w:t>
      </w:r>
      <w:r w:rsidR="00E44CEF" w:rsidRPr="00252C06">
        <w:rPr>
          <w:rFonts w:ascii="Times New Roman" w:hAnsi="Times New Roman"/>
          <w:b/>
          <w:sz w:val="24"/>
          <w:szCs w:val="24"/>
        </w:rPr>
        <w:t>ПРИНЦИП</w:t>
      </w:r>
      <w:r w:rsidRPr="00252C06">
        <w:rPr>
          <w:rFonts w:ascii="Times New Roman" w:hAnsi="Times New Roman"/>
          <w:b/>
          <w:sz w:val="24"/>
          <w:szCs w:val="24"/>
        </w:rPr>
        <w:t>А</w:t>
      </w:r>
      <w:r w:rsidR="00E44CEF" w:rsidRPr="00252C06">
        <w:rPr>
          <w:rFonts w:ascii="Times New Roman" w:hAnsi="Times New Roman"/>
          <w:b/>
          <w:sz w:val="24"/>
          <w:szCs w:val="24"/>
        </w:rPr>
        <w:t xml:space="preserve"> ЗА </w:t>
      </w:r>
      <w:r w:rsidR="005C6AC1" w:rsidRPr="00252C06">
        <w:rPr>
          <w:rFonts w:ascii="Times New Roman" w:hAnsi="Times New Roman"/>
          <w:b/>
          <w:sz w:val="24"/>
          <w:szCs w:val="24"/>
        </w:rPr>
        <w:t>„</w:t>
      </w:r>
      <w:r w:rsidR="002665DE" w:rsidRPr="00252C06">
        <w:rPr>
          <w:rFonts w:ascii="Times New Roman" w:hAnsi="Times New Roman"/>
          <w:b/>
          <w:sz w:val="24"/>
          <w:szCs w:val="24"/>
        </w:rPr>
        <w:t>НЕНАНАСЯНЕ НА ЗНАЧИТЕЛНИ ВРЕДИ”</w:t>
      </w:r>
    </w:p>
    <w:p w14:paraId="41D7065E" w14:textId="77777777" w:rsidR="0034268B" w:rsidRPr="00252C06" w:rsidRDefault="0034268B" w:rsidP="009622AE">
      <w:pPr>
        <w:spacing w:after="120" w:line="276" w:lineRule="auto"/>
        <w:ind w:firstLine="709"/>
        <w:jc w:val="both"/>
        <w:rPr>
          <w:rFonts w:ascii="Times New Roman" w:hAnsi="Times New Roman"/>
          <w:sz w:val="24"/>
          <w:szCs w:val="24"/>
        </w:rPr>
      </w:pPr>
    </w:p>
    <w:p w14:paraId="1F33D3DC" w14:textId="7A6D0302" w:rsidR="00AD22F2" w:rsidRPr="00252C06" w:rsidRDefault="009622AE" w:rsidP="009622AE">
      <w:pPr>
        <w:spacing w:after="120" w:line="276" w:lineRule="auto"/>
        <w:ind w:firstLine="709"/>
        <w:jc w:val="both"/>
        <w:rPr>
          <w:rFonts w:ascii="Times New Roman" w:hAnsi="Times New Roman"/>
          <w:sz w:val="24"/>
          <w:szCs w:val="24"/>
        </w:rPr>
      </w:pPr>
      <w:r w:rsidRPr="00252C06">
        <w:rPr>
          <w:rFonts w:ascii="Times New Roman" w:hAnsi="Times New Roman"/>
          <w:sz w:val="24"/>
          <w:szCs w:val="24"/>
        </w:rPr>
        <w:t>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Pr="00252C06">
        <w:rPr>
          <w:rFonts w:ascii="Times New Roman" w:eastAsia="Times New Roman" w:hAnsi="Times New Roman"/>
          <w:sz w:val="24"/>
          <w:szCs w:val="24"/>
        </w:rPr>
        <w:t>, предвижда, че при изпълнението на мерките, финансирани от отделните фондове</w:t>
      </w:r>
      <w:r w:rsidRPr="00252C06">
        <w:rPr>
          <w:rFonts w:ascii="Times New Roman" w:hAnsi="Times New Roman"/>
          <w:sz w:val="24"/>
          <w:szCs w:val="24"/>
        </w:rPr>
        <w:t xml:space="preserve"> следва да се спазват посочените в чл. 9 хоризонтални принципи. Във връзка с което и на основание ал. 4 от посочения член от Регламента, процедурите и финансираните по тях инвестиции/проекти, </w:t>
      </w:r>
      <w:r w:rsidR="00402ACA" w:rsidRPr="00252C06">
        <w:rPr>
          <w:rFonts w:ascii="Times New Roman" w:hAnsi="Times New Roman"/>
          <w:sz w:val="24"/>
          <w:szCs w:val="24"/>
        </w:rPr>
        <w:t xml:space="preserve">предвидени по </w:t>
      </w:r>
      <w:r w:rsidRPr="00252C06">
        <w:rPr>
          <w:rFonts w:ascii="Times New Roman" w:hAnsi="Times New Roman"/>
          <w:sz w:val="24"/>
          <w:szCs w:val="24"/>
        </w:rPr>
        <w:t>Програма „</w:t>
      </w:r>
      <w:r w:rsidR="00DE0AE2" w:rsidRPr="00252C06">
        <w:rPr>
          <w:rFonts w:ascii="Times New Roman" w:hAnsi="Times New Roman"/>
          <w:sz w:val="24"/>
          <w:szCs w:val="24"/>
        </w:rPr>
        <w:t>Транспортна свързаност</w:t>
      </w:r>
      <w:r w:rsidRPr="00252C06">
        <w:rPr>
          <w:rFonts w:ascii="Times New Roman" w:hAnsi="Times New Roman"/>
          <w:sz w:val="24"/>
          <w:szCs w:val="24"/>
        </w:rPr>
        <w:t>“ 2021-2027</w:t>
      </w:r>
      <w:r w:rsidR="00402ACA" w:rsidRPr="00252C06">
        <w:rPr>
          <w:rFonts w:ascii="Times New Roman" w:hAnsi="Times New Roman"/>
          <w:sz w:val="24"/>
          <w:szCs w:val="24"/>
        </w:rPr>
        <w:t xml:space="preserve">, следва да допринасят </w:t>
      </w:r>
      <w:r w:rsidRPr="00252C06">
        <w:rPr>
          <w:rFonts w:ascii="Times New Roman" w:hAnsi="Times New Roman"/>
          <w:sz w:val="24"/>
          <w:szCs w:val="24"/>
        </w:rPr>
        <w:t xml:space="preserve">вкл. и </w:t>
      </w:r>
      <w:r w:rsidR="00402ACA" w:rsidRPr="00252C06">
        <w:rPr>
          <w:rFonts w:ascii="Times New Roman" w:hAnsi="Times New Roman"/>
          <w:sz w:val="24"/>
          <w:szCs w:val="24"/>
        </w:rPr>
        <w:t xml:space="preserve">за </w:t>
      </w:r>
      <w:r w:rsidRPr="00252C06">
        <w:rPr>
          <w:rFonts w:ascii="Times New Roman" w:hAnsi="Times New Roman"/>
          <w:sz w:val="24"/>
          <w:szCs w:val="24"/>
        </w:rPr>
        <w:t xml:space="preserve">целта за насърчаване на устойчивото развитие, посочена в член 11 от ДФЕС и съблюдаване на принципа за „ненанасяне на значителни вреди“ </w:t>
      </w:r>
    </w:p>
    <w:p w14:paraId="225356F9" w14:textId="529D6C0E" w:rsidR="003A35BB" w:rsidRPr="00252C06" w:rsidRDefault="003A35BB" w:rsidP="00E44CEF">
      <w:pPr>
        <w:spacing w:after="120" w:line="276" w:lineRule="auto"/>
        <w:ind w:firstLine="709"/>
        <w:jc w:val="both"/>
        <w:rPr>
          <w:rFonts w:ascii="Times New Roman" w:hAnsi="Times New Roman"/>
          <w:sz w:val="24"/>
          <w:szCs w:val="24"/>
        </w:rPr>
      </w:pPr>
      <w:r w:rsidRPr="00252C06">
        <w:rPr>
          <w:rFonts w:ascii="Times New Roman" w:hAnsi="Times New Roman"/>
          <w:sz w:val="24"/>
          <w:szCs w:val="24"/>
        </w:rPr>
        <w:t>За целите на Регламента принципът за „ненанасяне на значителни вреди</w:t>
      </w:r>
      <w:r w:rsidR="00A233EA" w:rsidRPr="00252C06">
        <w:rPr>
          <w:rFonts w:ascii="Times New Roman" w:hAnsi="Times New Roman"/>
          <w:sz w:val="24"/>
          <w:szCs w:val="24"/>
        </w:rPr>
        <w:t>”</w:t>
      </w:r>
      <w:r w:rsidRPr="00252C06">
        <w:rPr>
          <w:rFonts w:ascii="Times New Roman" w:hAnsi="Times New Roman"/>
          <w:sz w:val="24"/>
          <w:szCs w:val="24"/>
        </w:rPr>
        <w:t xml:space="preserve"> трябва да се тълкува по смисъла на чл. 17 от Регламента за таксономията, в който се определя какво</w:t>
      </w:r>
      <w:r w:rsidR="00397070" w:rsidRPr="00252C06">
        <w:rPr>
          <w:rFonts w:ascii="Times New Roman" w:hAnsi="Times New Roman"/>
          <w:sz w:val="24"/>
          <w:szCs w:val="24"/>
        </w:rPr>
        <w:t xml:space="preserve"> представлява „значителна вреда”</w:t>
      </w:r>
      <w:r w:rsidRPr="00252C06">
        <w:rPr>
          <w:rFonts w:ascii="Times New Roman" w:hAnsi="Times New Roman"/>
          <w:sz w:val="24"/>
          <w:szCs w:val="24"/>
        </w:rPr>
        <w:t xml:space="preserve"> за шестте екологични цели, обхванати </w:t>
      </w:r>
      <w:r w:rsidR="002262CD" w:rsidRPr="00252C06">
        <w:rPr>
          <w:rFonts w:ascii="Times New Roman" w:hAnsi="Times New Roman"/>
          <w:sz w:val="24"/>
          <w:szCs w:val="24"/>
        </w:rPr>
        <w:t>в него</w:t>
      </w:r>
      <w:r w:rsidRPr="00252C06">
        <w:rPr>
          <w:rFonts w:ascii="Times New Roman" w:hAnsi="Times New Roman"/>
          <w:sz w:val="24"/>
          <w:szCs w:val="24"/>
        </w:rPr>
        <w:t xml:space="preserve">. </w:t>
      </w:r>
      <w:r w:rsidR="002262CD" w:rsidRPr="00252C06">
        <w:rPr>
          <w:rFonts w:ascii="Times New Roman" w:hAnsi="Times New Roman"/>
          <w:sz w:val="24"/>
          <w:szCs w:val="24"/>
        </w:rPr>
        <w:t xml:space="preserve">В тази връзка, </w:t>
      </w:r>
      <w:r w:rsidRPr="00252C06">
        <w:rPr>
          <w:rFonts w:ascii="Times New Roman" w:hAnsi="Times New Roman"/>
          <w:sz w:val="24"/>
          <w:szCs w:val="24"/>
        </w:rPr>
        <w:t xml:space="preserve">като се отчита </w:t>
      </w:r>
      <w:r w:rsidR="002262CD" w:rsidRPr="00252C06">
        <w:rPr>
          <w:rFonts w:ascii="Times New Roman" w:hAnsi="Times New Roman"/>
          <w:sz w:val="24"/>
          <w:szCs w:val="24"/>
        </w:rPr>
        <w:t xml:space="preserve">целият </w:t>
      </w:r>
      <w:r w:rsidRPr="00252C06">
        <w:rPr>
          <w:rFonts w:ascii="Times New Roman" w:hAnsi="Times New Roman"/>
          <w:sz w:val="24"/>
          <w:szCs w:val="24"/>
        </w:rPr>
        <w:t>жизнен цикъл на продуктите и услугите, предоставяни посредством дадена икономическа дейност</w:t>
      </w:r>
      <w:r w:rsidR="002262CD" w:rsidRPr="00252C06">
        <w:rPr>
          <w:rFonts w:ascii="Times New Roman" w:hAnsi="Times New Roman"/>
          <w:sz w:val="24"/>
          <w:szCs w:val="24"/>
        </w:rPr>
        <w:t xml:space="preserve">, </w:t>
      </w:r>
      <w:r w:rsidRPr="00252C06">
        <w:rPr>
          <w:rFonts w:ascii="Times New Roman" w:hAnsi="Times New Roman"/>
          <w:sz w:val="24"/>
          <w:szCs w:val="24"/>
        </w:rPr>
        <w:t>се приема, че дейност</w:t>
      </w:r>
      <w:r w:rsidR="00A721A0" w:rsidRPr="00252C06">
        <w:rPr>
          <w:rFonts w:ascii="Times New Roman" w:hAnsi="Times New Roman"/>
          <w:sz w:val="24"/>
          <w:szCs w:val="24"/>
        </w:rPr>
        <w:t>та</w:t>
      </w:r>
      <w:r w:rsidRPr="00252C06">
        <w:rPr>
          <w:rFonts w:ascii="Times New Roman" w:hAnsi="Times New Roman"/>
          <w:sz w:val="24"/>
          <w:szCs w:val="24"/>
        </w:rPr>
        <w:t xml:space="preserve"> нанася значителни вреди</w:t>
      </w:r>
      <w:r w:rsidR="00A721A0" w:rsidRPr="00252C06">
        <w:rPr>
          <w:rFonts w:ascii="Times New Roman" w:hAnsi="Times New Roman"/>
          <w:sz w:val="24"/>
          <w:szCs w:val="24"/>
        </w:rPr>
        <w:t xml:space="preserve"> за някой от шестте екологични цели</w:t>
      </w:r>
      <w:r w:rsidR="002262CD" w:rsidRPr="00252C06">
        <w:rPr>
          <w:rFonts w:ascii="Times New Roman" w:hAnsi="Times New Roman"/>
          <w:sz w:val="24"/>
          <w:szCs w:val="24"/>
        </w:rPr>
        <w:t xml:space="preserve">, и съответно </w:t>
      </w:r>
      <w:r w:rsidR="002262CD" w:rsidRPr="00252C06">
        <w:rPr>
          <w:rFonts w:ascii="Times New Roman" w:hAnsi="Times New Roman"/>
          <w:b/>
          <w:sz w:val="24"/>
          <w:szCs w:val="24"/>
        </w:rPr>
        <w:t xml:space="preserve">НЕ е налице спазването на принципа за </w:t>
      </w:r>
      <w:r w:rsidR="00EA0271" w:rsidRPr="00252C06">
        <w:rPr>
          <w:rFonts w:ascii="Times New Roman" w:hAnsi="Times New Roman"/>
          <w:b/>
          <w:sz w:val="24"/>
          <w:szCs w:val="24"/>
        </w:rPr>
        <w:t>„ненанасяне на значителни вреди”</w:t>
      </w:r>
      <w:r w:rsidR="002262CD" w:rsidRPr="00252C06">
        <w:rPr>
          <w:rFonts w:ascii="Times New Roman" w:hAnsi="Times New Roman"/>
          <w:sz w:val="24"/>
          <w:szCs w:val="24"/>
        </w:rPr>
        <w:t xml:space="preserve">, ако </w:t>
      </w:r>
      <w:r w:rsidRPr="00252C06">
        <w:rPr>
          <w:rFonts w:ascii="Times New Roman" w:hAnsi="Times New Roman"/>
          <w:sz w:val="24"/>
          <w:szCs w:val="24"/>
        </w:rPr>
        <w:t>при:</w:t>
      </w:r>
    </w:p>
    <w:p w14:paraId="723C53D7" w14:textId="77777777" w:rsidR="002262CD" w:rsidRPr="00252C06" w:rsidRDefault="002262CD" w:rsidP="00E44CEF">
      <w:pPr>
        <w:spacing w:after="120" w:line="276" w:lineRule="auto"/>
        <w:ind w:firstLine="709"/>
        <w:jc w:val="both"/>
        <w:rPr>
          <w:rFonts w:ascii="Times New Roman" w:hAnsi="Times New Roman"/>
          <w:sz w:val="24"/>
          <w:szCs w:val="24"/>
        </w:rPr>
      </w:pPr>
      <w:r w:rsidRPr="00252C06">
        <w:rPr>
          <w:rFonts w:ascii="Times New Roman" w:hAnsi="Times New Roman"/>
          <w:b/>
          <w:sz w:val="24"/>
          <w:szCs w:val="24"/>
        </w:rPr>
        <w:t>1) смекчаването на изменението на климата</w:t>
      </w:r>
      <w:r w:rsidRPr="00252C06">
        <w:rPr>
          <w:rFonts w:ascii="Times New Roman" w:hAnsi="Times New Roman"/>
          <w:sz w:val="24"/>
          <w:szCs w:val="24"/>
        </w:rPr>
        <w:t>, когато тази дейност води до значителни емисии на парникови газове;</w:t>
      </w:r>
    </w:p>
    <w:p w14:paraId="0F694097" w14:textId="77777777" w:rsidR="006564B8" w:rsidRPr="00252C06" w:rsidRDefault="002262CD" w:rsidP="00E44CEF">
      <w:pPr>
        <w:spacing w:after="120" w:line="276" w:lineRule="auto"/>
        <w:ind w:firstLine="709"/>
        <w:jc w:val="both"/>
        <w:rPr>
          <w:rFonts w:ascii="Times New Roman" w:hAnsi="Times New Roman"/>
          <w:sz w:val="24"/>
          <w:szCs w:val="24"/>
        </w:rPr>
      </w:pPr>
      <w:r w:rsidRPr="00252C06">
        <w:rPr>
          <w:rFonts w:ascii="Times New Roman" w:hAnsi="Times New Roman"/>
          <w:b/>
          <w:sz w:val="24"/>
          <w:szCs w:val="24"/>
        </w:rPr>
        <w:t>2) адаптирането към изменението на климата</w:t>
      </w:r>
      <w:r w:rsidRPr="00252C06">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53DFA078" w14:textId="77777777" w:rsidR="006564B8" w:rsidRPr="00252C06" w:rsidRDefault="006564B8" w:rsidP="00E44CEF">
      <w:pPr>
        <w:spacing w:after="120" w:line="276" w:lineRule="auto"/>
        <w:ind w:firstLine="709"/>
        <w:jc w:val="both"/>
        <w:rPr>
          <w:rFonts w:ascii="Times New Roman" w:hAnsi="Times New Roman"/>
          <w:sz w:val="24"/>
          <w:szCs w:val="24"/>
        </w:rPr>
      </w:pPr>
      <w:r w:rsidRPr="00252C06">
        <w:rPr>
          <w:rFonts w:ascii="Times New Roman" w:hAnsi="Times New Roman"/>
          <w:b/>
          <w:sz w:val="24"/>
          <w:szCs w:val="24"/>
        </w:rPr>
        <w:t>3</w:t>
      </w:r>
      <w:r w:rsidR="002262CD" w:rsidRPr="00252C06">
        <w:rPr>
          <w:rFonts w:ascii="Times New Roman" w:hAnsi="Times New Roman"/>
          <w:b/>
          <w:sz w:val="24"/>
          <w:szCs w:val="24"/>
        </w:rPr>
        <w:t>) устойчивото използване и опазването на водните и морските ресурси</w:t>
      </w:r>
      <w:r w:rsidR="002262CD" w:rsidRPr="00252C06">
        <w:rPr>
          <w:rFonts w:ascii="Times New Roman" w:hAnsi="Times New Roman"/>
          <w:sz w:val="24"/>
          <w:szCs w:val="24"/>
        </w:rPr>
        <w:t>, когато тази дейност влошава:</w:t>
      </w:r>
    </w:p>
    <w:p w14:paraId="451BFD9A" w14:textId="77777777" w:rsidR="006564B8" w:rsidRPr="00252C06" w:rsidRDefault="006564B8" w:rsidP="00E44CEF">
      <w:pPr>
        <w:spacing w:after="120" w:line="276" w:lineRule="auto"/>
        <w:ind w:firstLine="709"/>
        <w:jc w:val="both"/>
        <w:rPr>
          <w:rFonts w:ascii="Times New Roman" w:hAnsi="Times New Roman"/>
          <w:sz w:val="24"/>
          <w:szCs w:val="24"/>
        </w:rPr>
      </w:pPr>
      <w:r w:rsidRPr="00252C06">
        <w:rPr>
          <w:rFonts w:ascii="Times New Roman" w:hAnsi="Times New Roman"/>
          <w:sz w:val="24"/>
          <w:szCs w:val="24"/>
        </w:rPr>
        <w:t>-</w:t>
      </w:r>
      <w:r w:rsidR="002262CD" w:rsidRPr="00252C06">
        <w:rPr>
          <w:rFonts w:ascii="Times New Roman" w:hAnsi="Times New Roman"/>
          <w:sz w:val="24"/>
          <w:szCs w:val="24"/>
        </w:rPr>
        <w:t xml:space="preserve"> доброто състояние или добрия екологичен потенциал на водните обекти, включително на п</w:t>
      </w:r>
      <w:r w:rsidR="00A62A1B" w:rsidRPr="00252C06">
        <w:rPr>
          <w:rFonts w:ascii="Times New Roman" w:hAnsi="Times New Roman"/>
          <w:sz w:val="24"/>
          <w:szCs w:val="24"/>
        </w:rPr>
        <w:t>овърхностните и подземните води;</w:t>
      </w:r>
      <w:r w:rsidR="002262CD" w:rsidRPr="00252C06">
        <w:rPr>
          <w:rFonts w:ascii="Times New Roman" w:hAnsi="Times New Roman"/>
          <w:sz w:val="24"/>
          <w:szCs w:val="24"/>
        </w:rPr>
        <w:t xml:space="preserve"> или</w:t>
      </w:r>
    </w:p>
    <w:p w14:paraId="5DDCC6E6" w14:textId="77777777" w:rsidR="006564B8" w:rsidRPr="00252C06" w:rsidRDefault="006564B8" w:rsidP="00E44CEF">
      <w:pPr>
        <w:spacing w:after="120" w:line="276" w:lineRule="auto"/>
        <w:ind w:firstLine="709"/>
        <w:jc w:val="both"/>
        <w:rPr>
          <w:rFonts w:ascii="Times New Roman" w:hAnsi="Times New Roman"/>
          <w:sz w:val="24"/>
          <w:szCs w:val="24"/>
        </w:rPr>
      </w:pPr>
      <w:r w:rsidRPr="00252C06">
        <w:rPr>
          <w:rFonts w:ascii="Times New Roman" w:hAnsi="Times New Roman"/>
          <w:sz w:val="24"/>
          <w:szCs w:val="24"/>
        </w:rPr>
        <w:t>-</w:t>
      </w:r>
      <w:r w:rsidR="002262CD" w:rsidRPr="00252C06">
        <w:rPr>
          <w:rFonts w:ascii="Times New Roman" w:hAnsi="Times New Roman"/>
          <w:sz w:val="24"/>
          <w:szCs w:val="24"/>
        </w:rPr>
        <w:t xml:space="preserve"> доброто екологично състояние на морските води;</w:t>
      </w:r>
    </w:p>
    <w:p w14:paraId="79C74A1B" w14:textId="77777777" w:rsidR="006564B8" w:rsidRPr="00252C06" w:rsidRDefault="006564B8" w:rsidP="00E44CEF">
      <w:pPr>
        <w:spacing w:after="120" w:line="276" w:lineRule="auto"/>
        <w:ind w:firstLine="709"/>
        <w:jc w:val="both"/>
        <w:rPr>
          <w:rFonts w:ascii="Times New Roman" w:hAnsi="Times New Roman"/>
          <w:sz w:val="24"/>
          <w:szCs w:val="24"/>
        </w:rPr>
      </w:pPr>
      <w:r w:rsidRPr="00252C06">
        <w:rPr>
          <w:rFonts w:ascii="Times New Roman" w:hAnsi="Times New Roman"/>
          <w:b/>
          <w:sz w:val="24"/>
          <w:szCs w:val="24"/>
        </w:rPr>
        <w:t>4)</w:t>
      </w:r>
      <w:r w:rsidR="002262CD" w:rsidRPr="00252C06">
        <w:rPr>
          <w:rFonts w:ascii="Times New Roman" w:hAnsi="Times New Roman"/>
          <w:b/>
          <w:sz w:val="24"/>
          <w:szCs w:val="24"/>
        </w:rPr>
        <w:t xml:space="preserve"> кръговата икономика</w:t>
      </w:r>
      <w:r w:rsidR="002262CD" w:rsidRPr="00252C06">
        <w:rPr>
          <w:rFonts w:ascii="Times New Roman" w:hAnsi="Times New Roman"/>
          <w:sz w:val="24"/>
          <w:szCs w:val="24"/>
        </w:rPr>
        <w:t xml:space="preserve">, </w:t>
      </w:r>
      <w:r w:rsidR="002262CD" w:rsidRPr="00252C06">
        <w:rPr>
          <w:rFonts w:ascii="Times New Roman" w:hAnsi="Times New Roman"/>
          <w:b/>
          <w:sz w:val="24"/>
          <w:szCs w:val="24"/>
        </w:rPr>
        <w:t>включително предотвратяването на образуването на отпадъци и тяхното рециклиране</w:t>
      </w:r>
      <w:r w:rsidR="002262CD" w:rsidRPr="00252C06">
        <w:rPr>
          <w:rFonts w:ascii="Times New Roman" w:hAnsi="Times New Roman"/>
          <w:sz w:val="24"/>
          <w:szCs w:val="24"/>
        </w:rPr>
        <w:t>, когато:</w:t>
      </w:r>
    </w:p>
    <w:p w14:paraId="6D72E4DE" w14:textId="77777777" w:rsidR="006564B8" w:rsidRPr="00252C06" w:rsidRDefault="006564B8" w:rsidP="00E44CEF">
      <w:pPr>
        <w:spacing w:after="120" w:line="276" w:lineRule="auto"/>
        <w:ind w:firstLine="709"/>
        <w:jc w:val="both"/>
        <w:rPr>
          <w:rFonts w:ascii="Times New Roman" w:hAnsi="Times New Roman"/>
          <w:sz w:val="24"/>
          <w:szCs w:val="24"/>
        </w:rPr>
      </w:pPr>
      <w:r w:rsidRPr="00252C06">
        <w:rPr>
          <w:rFonts w:ascii="Times New Roman" w:hAnsi="Times New Roman"/>
          <w:sz w:val="24"/>
          <w:szCs w:val="24"/>
        </w:rPr>
        <w:t>-</w:t>
      </w:r>
      <w:r w:rsidR="002262CD" w:rsidRPr="00252C06">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w:t>
      </w:r>
      <w:r w:rsidR="002262CD" w:rsidRPr="00252C06">
        <w:rPr>
          <w:rFonts w:ascii="Times New Roman" w:hAnsi="Times New Roman"/>
          <w:sz w:val="24"/>
          <w:szCs w:val="24"/>
        </w:rPr>
        <w:lastRenderedPageBreak/>
        <w:t>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6BC30A9D" w14:textId="77777777" w:rsidR="006564B8" w:rsidRPr="00252C06" w:rsidRDefault="006564B8" w:rsidP="00E44CEF">
      <w:pPr>
        <w:spacing w:after="120" w:line="276" w:lineRule="auto"/>
        <w:ind w:firstLine="709"/>
        <w:jc w:val="both"/>
        <w:rPr>
          <w:rFonts w:ascii="Times New Roman" w:hAnsi="Times New Roman"/>
          <w:sz w:val="24"/>
          <w:szCs w:val="24"/>
        </w:rPr>
      </w:pPr>
      <w:r w:rsidRPr="00252C06">
        <w:rPr>
          <w:rFonts w:ascii="Times New Roman" w:hAnsi="Times New Roman"/>
          <w:sz w:val="24"/>
          <w:szCs w:val="24"/>
        </w:rPr>
        <w:t>-</w:t>
      </w:r>
      <w:r w:rsidR="002262CD" w:rsidRPr="00252C06">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14:paraId="347B0D84" w14:textId="77777777" w:rsidR="006564B8" w:rsidRPr="00252C06" w:rsidRDefault="006564B8" w:rsidP="00E44CEF">
      <w:pPr>
        <w:spacing w:after="120" w:line="276" w:lineRule="auto"/>
        <w:ind w:firstLine="709"/>
        <w:jc w:val="both"/>
        <w:rPr>
          <w:rFonts w:ascii="Times New Roman" w:hAnsi="Times New Roman"/>
          <w:sz w:val="24"/>
          <w:szCs w:val="24"/>
        </w:rPr>
      </w:pPr>
      <w:r w:rsidRPr="00252C06">
        <w:rPr>
          <w:rFonts w:ascii="Times New Roman" w:hAnsi="Times New Roman"/>
          <w:sz w:val="24"/>
          <w:szCs w:val="24"/>
        </w:rPr>
        <w:t>-</w:t>
      </w:r>
      <w:r w:rsidR="002262CD" w:rsidRPr="00252C06">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14:paraId="6FC24AC1" w14:textId="77777777" w:rsidR="006564B8" w:rsidRPr="00252C06" w:rsidRDefault="006564B8" w:rsidP="00E44CEF">
      <w:pPr>
        <w:spacing w:after="120" w:line="276" w:lineRule="auto"/>
        <w:ind w:firstLine="709"/>
        <w:jc w:val="both"/>
        <w:rPr>
          <w:rFonts w:ascii="Times New Roman" w:hAnsi="Times New Roman"/>
          <w:sz w:val="24"/>
          <w:szCs w:val="24"/>
        </w:rPr>
      </w:pPr>
      <w:r w:rsidRPr="00252C06">
        <w:rPr>
          <w:rFonts w:ascii="Times New Roman" w:hAnsi="Times New Roman"/>
          <w:b/>
          <w:sz w:val="24"/>
          <w:szCs w:val="24"/>
        </w:rPr>
        <w:t>5</w:t>
      </w:r>
      <w:r w:rsidR="002262CD" w:rsidRPr="00252C06">
        <w:rPr>
          <w:rFonts w:ascii="Times New Roman" w:hAnsi="Times New Roman"/>
          <w:b/>
          <w:sz w:val="24"/>
          <w:szCs w:val="24"/>
        </w:rPr>
        <w:t>) предотвратяването и контрола на замърсяването</w:t>
      </w:r>
      <w:r w:rsidR="002262CD" w:rsidRPr="00252C06">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0BBACB19" w14:textId="77777777" w:rsidR="006564B8" w:rsidRPr="00252C06" w:rsidRDefault="006564B8" w:rsidP="00E44CEF">
      <w:pPr>
        <w:spacing w:after="120" w:line="276" w:lineRule="auto"/>
        <w:ind w:firstLine="709"/>
        <w:jc w:val="both"/>
        <w:rPr>
          <w:rFonts w:ascii="Times New Roman" w:hAnsi="Times New Roman"/>
          <w:sz w:val="24"/>
          <w:szCs w:val="24"/>
        </w:rPr>
      </w:pPr>
      <w:r w:rsidRPr="00252C06">
        <w:rPr>
          <w:rFonts w:ascii="Times New Roman" w:hAnsi="Times New Roman"/>
          <w:b/>
          <w:sz w:val="24"/>
          <w:szCs w:val="24"/>
        </w:rPr>
        <w:t>6</w:t>
      </w:r>
      <w:r w:rsidR="002262CD" w:rsidRPr="00252C06">
        <w:rPr>
          <w:rFonts w:ascii="Times New Roman" w:hAnsi="Times New Roman"/>
          <w:b/>
          <w:sz w:val="24"/>
          <w:szCs w:val="24"/>
        </w:rPr>
        <w:t>) защитата и възстановяването на биологичното разнообразие и екосистемите</w:t>
      </w:r>
      <w:r w:rsidR="002262CD" w:rsidRPr="00252C06">
        <w:rPr>
          <w:rFonts w:ascii="Times New Roman" w:hAnsi="Times New Roman"/>
          <w:sz w:val="24"/>
          <w:szCs w:val="24"/>
        </w:rPr>
        <w:t>, когато тази дейност:</w:t>
      </w:r>
    </w:p>
    <w:p w14:paraId="180E30A9" w14:textId="77777777" w:rsidR="006564B8" w:rsidRPr="00252C06" w:rsidRDefault="006564B8" w:rsidP="00E44CEF">
      <w:pPr>
        <w:spacing w:after="120" w:line="276" w:lineRule="auto"/>
        <w:ind w:firstLine="709"/>
        <w:jc w:val="both"/>
        <w:rPr>
          <w:rFonts w:ascii="Times New Roman" w:hAnsi="Times New Roman"/>
          <w:sz w:val="24"/>
          <w:szCs w:val="24"/>
        </w:rPr>
      </w:pPr>
      <w:r w:rsidRPr="00252C06">
        <w:rPr>
          <w:rFonts w:ascii="Times New Roman" w:hAnsi="Times New Roman"/>
          <w:sz w:val="24"/>
          <w:szCs w:val="24"/>
        </w:rPr>
        <w:t>-</w:t>
      </w:r>
      <w:r w:rsidR="002262CD" w:rsidRPr="00252C06">
        <w:rPr>
          <w:rFonts w:ascii="Times New Roman" w:hAnsi="Times New Roman"/>
          <w:sz w:val="24"/>
          <w:szCs w:val="24"/>
        </w:rPr>
        <w:t xml:space="preserve"> влошава в значителна степен доброто състояние и устойчивостта на екосистемите; или</w:t>
      </w:r>
    </w:p>
    <w:p w14:paraId="736D8E2C" w14:textId="77777777" w:rsidR="002262CD" w:rsidRPr="00252C06" w:rsidRDefault="006564B8" w:rsidP="00E44CEF">
      <w:pPr>
        <w:spacing w:after="120" w:line="276" w:lineRule="auto"/>
        <w:ind w:firstLine="709"/>
        <w:jc w:val="both"/>
        <w:rPr>
          <w:rFonts w:ascii="Times New Roman" w:hAnsi="Times New Roman"/>
          <w:sz w:val="24"/>
          <w:szCs w:val="24"/>
        </w:rPr>
      </w:pPr>
      <w:r w:rsidRPr="00252C06">
        <w:rPr>
          <w:rFonts w:ascii="Times New Roman" w:hAnsi="Times New Roman"/>
          <w:sz w:val="24"/>
          <w:szCs w:val="24"/>
        </w:rPr>
        <w:t>-</w:t>
      </w:r>
      <w:r w:rsidR="002262CD" w:rsidRPr="00252C06">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14:paraId="1532AA6A" w14:textId="662F10E1" w:rsidR="00894435" w:rsidRPr="00252C06" w:rsidRDefault="00894435" w:rsidP="00DE6316">
      <w:pPr>
        <w:pStyle w:val="ListParagraph"/>
        <w:spacing w:after="120" w:line="276" w:lineRule="auto"/>
        <w:ind w:left="0" w:firstLine="709"/>
        <w:jc w:val="both"/>
        <w:rPr>
          <w:rFonts w:ascii="Times New Roman" w:hAnsi="Times New Roman"/>
          <w:sz w:val="24"/>
          <w:szCs w:val="24"/>
        </w:rPr>
      </w:pPr>
      <w:r w:rsidRPr="00252C06">
        <w:rPr>
          <w:rFonts w:ascii="Times New Roman" w:hAnsi="Times New Roman"/>
          <w:sz w:val="24"/>
          <w:szCs w:val="24"/>
        </w:rPr>
        <w:t>В следващата таблица може да намерите информация за шестте екологични цели във връзка с настоящата процедура за изграждане на „Зарядна инфраструктура за електрически превозни средства“</w:t>
      </w:r>
    </w:p>
    <w:p w14:paraId="003FBAEC" w14:textId="77777777" w:rsidR="00894435" w:rsidRPr="00252C06" w:rsidRDefault="00894435" w:rsidP="00DE6316">
      <w:pPr>
        <w:pStyle w:val="ListParagraph"/>
        <w:spacing w:after="120" w:line="276" w:lineRule="auto"/>
        <w:ind w:left="0" w:firstLine="709"/>
        <w:jc w:val="both"/>
        <w:rPr>
          <w:rFonts w:ascii="Times New Roman" w:hAnsi="Times New Roman"/>
          <w:sz w:val="24"/>
          <w:szCs w:val="24"/>
        </w:rPr>
      </w:pPr>
    </w:p>
    <w:p w14:paraId="1F9C798F" w14:textId="5481AD2F" w:rsidR="00894435" w:rsidRPr="00252C06" w:rsidRDefault="00894435" w:rsidP="00DE6316">
      <w:pPr>
        <w:pStyle w:val="ListParagraph"/>
        <w:spacing w:after="120" w:line="276" w:lineRule="auto"/>
        <w:ind w:left="0" w:firstLine="709"/>
        <w:jc w:val="both"/>
        <w:rPr>
          <w:rFonts w:ascii="Times New Roman" w:hAnsi="Times New Roman"/>
          <w:sz w:val="24"/>
          <w:szCs w:val="24"/>
        </w:rPr>
      </w:pPr>
    </w:p>
    <w:p w14:paraId="0DDDC303" w14:textId="66162103" w:rsidR="00894435" w:rsidRPr="00252C06" w:rsidRDefault="00894435" w:rsidP="00DE6316">
      <w:pPr>
        <w:pStyle w:val="ListParagraph"/>
        <w:spacing w:after="120" w:line="276" w:lineRule="auto"/>
        <w:ind w:left="0" w:firstLine="709"/>
        <w:jc w:val="both"/>
        <w:rPr>
          <w:rFonts w:ascii="Times New Roman" w:hAnsi="Times New Roman"/>
          <w:sz w:val="24"/>
          <w:szCs w:val="24"/>
        </w:rPr>
      </w:pPr>
    </w:p>
    <w:p w14:paraId="79FD6892" w14:textId="515E0424" w:rsidR="00894435" w:rsidRPr="00252C06" w:rsidRDefault="00894435" w:rsidP="00DE6316">
      <w:pPr>
        <w:pStyle w:val="ListParagraph"/>
        <w:spacing w:after="120" w:line="276" w:lineRule="auto"/>
        <w:ind w:left="0" w:firstLine="709"/>
        <w:jc w:val="both"/>
        <w:rPr>
          <w:rFonts w:ascii="Times New Roman" w:hAnsi="Times New Roman"/>
          <w:sz w:val="24"/>
          <w:szCs w:val="24"/>
        </w:rPr>
      </w:pPr>
    </w:p>
    <w:p w14:paraId="1ED1BDEF" w14:textId="48CF3228" w:rsidR="00894435" w:rsidRPr="00252C06" w:rsidRDefault="00894435" w:rsidP="00DE6316">
      <w:pPr>
        <w:pStyle w:val="ListParagraph"/>
        <w:spacing w:after="120" w:line="276" w:lineRule="auto"/>
        <w:ind w:left="0" w:firstLine="709"/>
        <w:jc w:val="both"/>
        <w:rPr>
          <w:rFonts w:ascii="Times New Roman" w:hAnsi="Times New Roman"/>
          <w:sz w:val="24"/>
          <w:szCs w:val="24"/>
        </w:rPr>
      </w:pPr>
    </w:p>
    <w:p w14:paraId="4FC4072A" w14:textId="1435C409" w:rsidR="00894435" w:rsidRPr="00252C06" w:rsidRDefault="00894435" w:rsidP="00DE6316">
      <w:pPr>
        <w:pStyle w:val="ListParagraph"/>
        <w:spacing w:after="120" w:line="276" w:lineRule="auto"/>
        <w:ind w:left="0" w:firstLine="709"/>
        <w:jc w:val="both"/>
        <w:rPr>
          <w:rFonts w:ascii="Times New Roman" w:hAnsi="Times New Roman"/>
          <w:sz w:val="24"/>
          <w:szCs w:val="24"/>
        </w:rPr>
      </w:pPr>
    </w:p>
    <w:p w14:paraId="6DAE520D" w14:textId="730458B8" w:rsidR="00894435" w:rsidRPr="00252C06" w:rsidRDefault="00894435" w:rsidP="00DE6316">
      <w:pPr>
        <w:pStyle w:val="ListParagraph"/>
        <w:spacing w:after="120" w:line="276" w:lineRule="auto"/>
        <w:ind w:left="0" w:firstLine="709"/>
        <w:jc w:val="both"/>
        <w:rPr>
          <w:rFonts w:ascii="Times New Roman" w:hAnsi="Times New Roman"/>
          <w:sz w:val="24"/>
          <w:szCs w:val="24"/>
        </w:rPr>
      </w:pPr>
    </w:p>
    <w:p w14:paraId="08CC765F" w14:textId="1F7774FC" w:rsidR="00894435" w:rsidRPr="00252C06" w:rsidRDefault="00894435" w:rsidP="00DE6316">
      <w:pPr>
        <w:pStyle w:val="ListParagraph"/>
        <w:spacing w:after="120" w:line="276" w:lineRule="auto"/>
        <w:ind w:left="0" w:firstLine="709"/>
        <w:jc w:val="both"/>
        <w:rPr>
          <w:rFonts w:ascii="Times New Roman" w:hAnsi="Times New Roman"/>
          <w:sz w:val="24"/>
          <w:szCs w:val="24"/>
        </w:rPr>
      </w:pPr>
    </w:p>
    <w:p w14:paraId="44CFA4C3" w14:textId="4F59FE43" w:rsidR="00894435" w:rsidRPr="00252C06" w:rsidRDefault="00894435" w:rsidP="00DE6316">
      <w:pPr>
        <w:pStyle w:val="ListParagraph"/>
        <w:spacing w:after="120" w:line="276" w:lineRule="auto"/>
        <w:ind w:left="0" w:firstLine="709"/>
        <w:jc w:val="both"/>
        <w:rPr>
          <w:rFonts w:ascii="Times New Roman" w:hAnsi="Times New Roman"/>
          <w:sz w:val="24"/>
          <w:szCs w:val="24"/>
        </w:rPr>
      </w:pPr>
    </w:p>
    <w:p w14:paraId="4A7C1F04" w14:textId="52F1E1BA" w:rsidR="00894435" w:rsidRPr="00252C06" w:rsidRDefault="00894435" w:rsidP="00DE6316">
      <w:pPr>
        <w:pStyle w:val="ListParagraph"/>
        <w:spacing w:after="120" w:line="276" w:lineRule="auto"/>
        <w:ind w:left="0" w:firstLine="709"/>
        <w:jc w:val="both"/>
        <w:rPr>
          <w:rFonts w:ascii="Times New Roman" w:hAnsi="Times New Roman"/>
          <w:sz w:val="24"/>
          <w:szCs w:val="24"/>
        </w:rPr>
      </w:pPr>
    </w:p>
    <w:p w14:paraId="246D7224" w14:textId="33AF1EE9" w:rsidR="00894435" w:rsidRPr="00252C06" w:rsidRDefault="00894435">
      <w:pPr>
        <w:rPr>
          <w:rFonts w:ascii="Times New Roman" w:hAnsi="Times New Roman"/>
          <w:sz w:val="24"/>
          <w:szCs w:val="24"/>
        </w:rPr>
      </w:pPr>
      <w:r w:rsidRPr="00252C06">
        <w:rPr>
          <w:rFonts w:ascii="Times New Roman" w:hAnsi="Times New Roman"/>
          <w:sz w:val="24"/>
          <w:szCs w:val="24"/>
        </w:rPr>
        <w:br w:type="page"/>
      </w:r>
    </w:p>
    <w:p w14:paraId="01B97E6B" w14:textId="77777777" w:rsidR="00894435" w:rsidRPr="00252C06" w:rsidRDefault="00894435" w:rsidP="00DE6316">
      <w:pPr>
        <w:pStyle w:val="ListParagraph"/>
        <w:spacing w:after="120" w:line="276" w:lineRule="auto"/>
        <w:ind w:left="0" w:firstLine="709"/>
        <w:jc w:val="both"/>
        <w:rPr>
          <w:rFonts w:ascii="Times New Roman" w:hAnsi="Times New Roman"/>
          <w:sz w:val="24"/>
          <w:szCs w:val="24"/>
        </w:rPr>
        <w:sectPr w:rsidR="00894435" w:rsidRPr="00252C06" w:rsidSect="007311CC">
          <w:headerReference w:type="default" r:id="rId8"/>
          <w:footerReference w:type="default" r:id="rId9"/>
          <w:pgSz w:w="11906" w:h="16838"/>
          <w:pgMar w:top="1417" w:right="1417" w:bottom="1417" w:left="1417" w:header="708" w:footer="708" w:gutter="0"/>
          <w:cols w:space="708"/>
          <w:docGrid w:linePitch="360"/>
        </w:sectPr>
      </w:pPr>
    </w:p>
    <w:tbl>
      <w:tblPr>
        <w:tblStyle w:val="TableGrid"/>
        <w:tblW w:w="15132" w:type="dxa"/>
        <w:tblLayout w:type="fixed"/>
        <w:tblLook w:val="04A0" w:firstRow="1" w:lastRow="0" w:firstColumn="1" w:lastColumn="0" w:noHBand="0" w:noVBand="1"/>
      </w:tblPr>
      <w:tblGrid>
        <w:gridCol w:w="3403"/>
        <w:gridCol w:w="496"/>
        <w:gridCol w:w="604"/>
        <w:gridCol w:w="10629"/>
      </w:tblGrid>
      <w:tr w:rsidR="00894435" w:rsidRPr="00252C06" w14:paraId="3C5B0096" w14:textId="77777777" w:rsidTr="00A912EA">
        <w:tc>
          <w:tcPr>
            <w:tcW w:w="3403" w:type="dxa"/>
          </w:tcPr>
          <w:p w14:paraId="3C6B15FD" w14:textId="1516A328" w:rsidR="00894435" w:rsidRPr="00A912EA" w:rsidRDefault="00894435" w:rsidP="00657D6C">
            <w:pPr>
              <w:spacing w:after="120"/>
              <w:jc w:val="both"/>
              <w:rPr>
                <w:rFonts w:ascii="Times New Roman" w:hAnsi="Times New Roman"/>
                <w:i/>
                <w:iCs/>
                <w:sz w:val="24"/>
                <w:szCs w:val="24"/>
                <w:lang w:val="bg-BG"/>
              </w:rPr>
            </w:pPr>
          </w:p>
        </w:tc>
        <w:tc>
          <w:tcPr>
            <w:tcW w:w="496" w:type="dxa"/>
            <w:vAlign w:val="center"/>
          </w:tcPr>
          <w:p w14:paraId="733763C6" w14:textId="2FF0766F" w:rsidR="00894435" w:rsidRPr="00A912EA" w:rsidRDefault="00894435" w:rsidP="00657D6C">
            <w:pPr>
              <w:spacing w:after="120"/>
              <w:jc w:val="center"/>
              <w:rPr>
                <w:rFonts w:ascii="Times New Roman" w:hAnsi="Times New Roman"/>
                <w:i/>
                <w:iCs/>
                <w:sz w:val="24"/>
                <w:szCs w:val="24"/>
                <w:lang w:val="bg-BG"/>
              </w:rPr>
            </w:pPr>
            <w:r w:rsidRPr="00A912EA">
              <w:rPr>
                <w:rFonts w:ascii="Times New Roman" w:hAnsi="Times New Roman"/>
                <w:i/>
                <w:iCs/>
                <w:sz w:val="24"/>
                <w:szCs w:val="24"/>
                <w:lang w:val="bg-BG"/>
              </w:rPr>
              <w:t>Да</w:t>
            </w:r>
          </w:p>
        </w:tc>
        <w:tc>
          <w:tcPr>
            <w:tcW w:w="604" w:type="dxa"/>
            <w:vAlign w:val="center"/>
          </w:tcPr>
          <w:p w14:paraId="2EFB8D1B" w14:textId="07910088" w:rsidR="00894435" w:rsidRPr="00A912EA" w:rsidRDefault="00894435" w:rsidP="00657D6C">
            <w:pPr>
              <w:spacing w:after="120"/>
              <w:jc w:val="center"/>
              <w:rPr>
                <w:rFonts w:ascii="Times New Roman" w:hAnsi="Times New Roman"/>
                <w:i/>
                <w:iCs/>
                <w:sz w:val="24"/>
                <w:szCs w:val="24"/>
                <w:lang w:val="bg-BG"/>
              </w:rPr>
            </w:pPr>
            <w:r w:rsidRPr="00A912EA">
              <w:rPr>
                <w:rFonts w:ascii="Times New Roman" w:hAnsi="Times New Roman"/>
                <w:i/>
                <w:iCs/>
                <w:sz w:val="24"/>
                <w:szCs w:val="24"/>
                <w:lang w:val="bg-BG"/>
              </w:rPr>
              <w:t>Не</w:t>
            </w:r>
          </w:p>
        </w:tc>
        <w:tc>
          <w:tcPr>
            <w:tcW w:w="10629" w:type="dxa"/>
            <w:vAlign w:val="center"/>
          </w:tcPr>
          <w:p w14:paraId="03610720" w14:textId="5D9FD0F8" w:rsidR="00894435" w:rsidRPr="00A912EA" w:rsidRDefault="00894435" w:rsidP="00657D6C">
            <w:pPr>
              <w:spacing w:after="120"/>
              <w:jc w:val="center"/>
              <w:rPr>
                <w:rFonts w:ascii="Times New Roman" w:hAnsi="Times New Roman"/>
                <w:i/>
                <w:iCs/>
                <w:sz w:val="24"/>
                <w:szCs w:val="24"/>
                <w:lang w:val="bg-BG"/>
              </w:rPr>
            </w:pPr>
            <w:r w:rsidRPr="00A912EA">
              <w:rPr>
                <w:rFonts w:ascii="Times New Roman" w:hAnsi="Times New Roman"/>
                <w:i/>
                <w:iCs/>
                <w:sz w:val="24"/>
                <w:szCs w:val="24"/>
                <w:lang w:val="bg-BG"/>
              </w:rPr>
              <w:t>Обосновка ако отговорът е „Не“</w:t>
            </w:r>
          </w:p>
        </w:tc>
      </w:tr>
      <w:tr w:rsidR="00894435" w:rsidRPr="00252C06" w14:paraId="0EB5A0E0" w14:textId="77777777" w:rsidTr="00A912EA">
        <w:tc>
          <w:tcPr>
            <w:tcW w:w="3403" w:type="dxa"/>
          </w:tcPr>
          <w:p w14:paraId="0A32498C" w14:textId="1787659D" w:rsidR="00894435" w:rsidRPr="00252C06" w:rsidRDefault="00894435" w:rsidP="00894435">
            <w:pPr>
              <w:spacing w:after="120"/>
              <w:jc w:val="both"/>
              <w:rPr>
                <w:rFonts w:ascii="Times New Roman" w:hAnsi="Times New Roman"/>
                <w:b/>
                <w:sz w:val="24"/>
                <w:szCs w:val="24"/>
                <w:lang w:val="bg-BG"/>
              </w:rPr>
            </w:pPr>
            <w:r w:rsidRPr="00252C06">
              <w:rPr>
                <w:rFonts w:ascii="Times New Roman" w:hAnsi="Times New Roman"/>
                <w:b/>
                <w:sz w:val="24"/>
                <w:szCs w:val="24"/>
                <w:lang w:val="bg-BG"/>
              </w:rPr>
              <w:t>Смекчаване на изменението на климата</w:t>
            </w:r>
          </w:p>
        </w:tc>
        <w:tc>
          <w:tcPr>
            <w:tcW w:w="496" w:type="dxa"/>
          </w:tcPr>
          <w:p w14:paraId="463C252C" w14:textId="77777777" w:rsidR="00894435" w:rsidRPr="00252C06" w:rsidRDefault="00894435" w:rsidP="00657D6C">
            <w:pPr>
              <w:spacing w:after="120"/>
              <w:jc w:val="both"/>
              <w:rPr>
                <w:rFonts w:ascii="Times New Roman" w:hAnsi="Times New Roman"/>
                <w:sz w:val="24"/>
                <w:szCs w:val="24"/>
                <w:lang w:val="bg-BG"/>
              </w:rPr>
            </w:pPr>
          </w:p>
        </w:tc>
        <w:tc>
          <w:tcPr>
            <w:tcW w:w="604" w:type="dxa"/>
          </w:tcPr>
          <w:p w14:paraId="0C6AF45C" w14:textId="77777777" w:rsidR="00894435" w:rsidRPr="00252C06" w:rsidRDefault="00894435" w:rsidP="00657D6C">
            <w:pPr>
              <w:spacing w:after="120"/>
              <w:jc w:val="both"/>
              <w:rPr>
                <w:rFonts w:ascii="Times New Roman" w:hAnsi="Times New Roman"/>
                <w:sz w:val="24"/>
                <w:szCs w:val="24"/>
                <w:lang w:val="bg-BG"/>
              </w:rPr>
            </w:pPr>
            <w:r w:rsidRPr="00252C06">
              <w:rPr>
                <w:rFonts w:ascii="Times New Roman" w:hAnsi="Times New Roman"/>
                <w:sz w:val="24"/>
                <w:szCs w:val="24"/>
                <w:lang w:val="bg-BG"/>
              </w:rPr>
              <w:t>Х</w:t>
            </w:r>
          </w:p>
        </w:tc>
        <w:tc>
          <w:tcPr>
            <w:tcW w:w="10629" w:type="dxa"/>
          </w:tcPr>
          <w:p w14:paraId="33598049" w14:textId="77777777" w:rsidR="00894435" w:rsidRPr="00252C06" w:rsidRDefault="00894435" w:rsidP="00894435">
            <w:pPr>
              <w:spacing w:after="120"/>
              <w:jc w:val="both"/>
              <w:rPr>
                <w:rFonts w:ascii="Times New Roman" w:hAnsi="Times New Roman"/>
                <w:sz w:val="24"/>
                <w:szCs w:val="24"/>
                <w:lang w:val="bg-BG"/>
              </w:rPr>
            </w:pPr>
            <w:r w:rsidRPr="00252C06">
              <w:rPr>
                <w:rFonts w:ascii="Times New Roman" w:hAnsi="Times New Roman"/>
                <w:sz w:val="24"/>
                <w:szCs w:val="24"/>
                <w:lang w:val="bg-BG"/>
              </w:rPr>
              <w:t>Целта на мярката пряко подкрепя целта за смекчаване на последиците от изменението на климата. Инфраструктурата за зареждане насърчава електрификацията и може да се счита за необходима инвестиция в прехода към ефективна и неутрална по отношение на климата икономика.</w:t>
            </w:r>
          </w:p>
          <w:p w14:paraId="0B9B51C8" w14:textId="1D8C34F8" w:rsidR="00894435" w:rsidRPr="00252C06" w:rsidRDefault="00894435" w:rsidP="00894435">
            <w:pPr>
              <w:spacing w:after="120"/>
              <w:jc w:val="both"/>
              <w:rPr>
                <w:rFonts w:ascii="Times New Roman" w:hAnsi="Times New Roman"/>
                <w:sz w:val="24"/>
                <w:szCs w:val="24"/>
                <w:lang w:val="bg-BG"/>
              </w:rPr>
            </w:pPr>
            <w:r w:rsidRPr="00252C06">
              <w:rPr>
                <w:rFonts w:ascii="Times New Roman" w:hAnsi="Times New Roman"/>
                <w:sz w:val="24"/>
                <w:szCs w:val="24"/>
                <w:lang w:val="bg-BG"/>
              </w:rPr>
              <w:t xml:space="preserve">Чрез изграждането на инфраструктура за зареждане с алтернативни горива по националната пътна мрежа ще се ограничат емисиите на парникови газове, което води до смекчаване на изменението на климата. Мярката допринася за постигането на Европейската зелена сделка. </w:t>
            </w:r>
          </w:p>
          <w:p w14:paraId="609D104A" w14:textId="77777777" w:rsidR="00894435" w:rsidRPr="00252C06" w:rsidRDefault="00894435" w:rsidP="00894435">
            <w:pPr>
              <w:spacing w:after="120"/>
              <w:jc w:val="both"/>
              <w:rPr>
                <w:rFonts w:ascii="Times New Roman" w:hAnsi="Times New Roman"/>
                <w:sz w:val="24"/>
                <w:szCs w:val="24"/>
                <w:lang w:val="bg-BG"/>
              </w:rPr>
            </w:pPr>
            <w:r w:rsidRPr="00252C06">
              <w:rPr>
                <w:rFonts w:ascii="Times New Roman" w:hAnsi="Times New Roman"/>
                <w:sz w:val="24"/>
                <w:szCs w:val="24"/>
                <w:lang w:val="bg-BG"/>
              </w:rPr>
              <w:t xml:space="preserve">Очаква се мярката да доведе до намаляване на емисиите на парникови газове; тя е част от Интегрираната транспортна стратегия до 2030 г., насочена към декарбонизация на транспорта в съответствие с целите за климата до 2030 г. </w:t>
            </w:r>
          </w:p>
          <w:p w14:paraId="15ECA2E0" w14:textId="66586EBB" w:rsidR="00894435" w:rsidRPr="00252C06" w:rsidRDefault="00894435" w:rsidP="00657D6C">
            <w:pPr>
              <w:spacing w:after="120"/>
              <w:jc w:val="both"/>
              <w:rPr>
                <w:rFonts w:ascii="Times New Roman" w:hAnsi="Times New Roman"/>
                <w:sz w:val="24"/>
                <w:szCs w:val="24"/>
                <w:lang w:val="bg-BG"/>
              </w:rPr>
            </w:pPr>
            <w:r w:rsidRPr="00252C06">
              <w:rPr>
                <w:rFonts w:ascii="Times New Roman" w:hAnsi="Times New Roman"/>
                <w:sz w:val="24"/>
                <w:szCs w:val="24"/>
                <w:lang w:val="bg-BG"/>
              </w:rPr>
              <w:t>Дейностите по мярката допринасят за развитието и прехода към електрически превозни средства, което води до намаляване на емисиите на парникови газове в сравнение с транспорта с конвенционални горива, особено по отношение на товарния транспорт.</w:t>
            </w:r>
          </w:p>
          <w:p w14:paraId="3A7752F0" w14:textId="369F3CCF" w:rsidR="00894435" w:rsidRPr="00252C06" w:rsidRDefault="00894435" w:rsidP="00657D6C">
            <w:pPr>
              <w:spacing w:after="120"/>
              <w:jc w:val="both"/>
              <w:rPr>
                <w:rFonts w:ascii="Times New Roman" w:hAnsi="Times New Roman"/>
                <w:sz w:val="24"/>
                <w:szCs w:val="24"/>
                <w:lang w:val="bg-BG"/>
              </w:rPr>
            </w:pPr>
          </w:p>
        </w:tc>
      </w:tr>
      <w:tr w:rsidR="00894435" w:rsidRPr="00252C06" w14:paraId="1AF3BDFC" w14:textId="77777777" w:rsidTr="00A912EA">
        <w:tc>
          <w:tcPr>
            <w:tcW w:w="3403" w:type="dxa"/>
          </w:tcPr>
          <w:p w14:paraId="68E96320" w14:textId="6331F354" w:rsidR="00894435" w:rsidRPr="00252C06" w:rsidRDefault="001B6AFC" w:rsidP="001B6AFC">
            <w:pPr>
              <w:spacing w:after="120"/>
              <w:jc w:val="both"/>
              <w:rPr>
                <w:rFonts w:ascii="Times New Roman" w:hAnsi="Times New Roman"/>
                <w:i/>
                <w:sz w:val="24"/>
                <w:szCs w:val="24"/>
                <w:lang w:val="bg-BG"/>
              </w:rPr>
            </w:pPr>
            <w:r w:rsidRPr="00252C06">
              <w:rPr>
                <w:rFonts w:ascii="Times New Roman" w:hAnsi="Times New Roman"/>
                <w:b/>
                <w:sz w:val="24"/>
                <w:szCs w:val="24"/>
                <w:lang w:val="bg-BG"/>
              </w:rPr>
              <w:t>Адаптиране към изменението на климата</w:t>
            </w:r>
          </w:p>
        </w:tc>
        <w:tc>
          <w:tcPr>
            <w:tcW w:w="496" w:type="dxa"/>
          </w:tcPr>
          <w:p w14:paraId="5C8CB3D7" w14:textId="77777777" w:rsidR="00894435" w:rsidRPr="00252C06" w:rsidRDefault="00894435" w:rsidP="00657D6C">
            <w:pPr>
              <w:spacing w:after="120"/>
              <w:jc w:val="both"/>
              <w:rPr>
                <w:rFonts w:ascii="Times New Roman" w:hAnsi="Times New Roman"/>
                <w:sz w:val="24"/>
                <w:szCs w:val="24"/>
                <w:lang w:val="bg-BG"/>
              </w:rPr>
            </w:pPr>
          </w:p>
        </w:tc>
        <w:tc>
          <w:tcPr>
            <w:tcW w:w="604" w:type="dxa"/>
          </w:tcPr>
          <w:p w14:paraId="1CDC2A8E" w14:textId="77777777" w:rsidR="00894435" w:rsidRPr="00252C06" w:rsidRDefault="00894435" w:rsidP="00657D6C">
            <w:pPr>
              <w:spacing w:after="120"/>
              <w:jc w:val="both"/>
              <w:rPr>
                <w:rFonts w:ascii="Times New Roman" w:hAnsi="Times New Roman"/>
                <w:sz w:val="24"/>
                <w:szCs w:val="24"/>
                <w:lang w:val="bg-BG"/>
              </w:rPr>
            </w:pPr>
            <w:r w:rsidRPr="00252C06">
              <w:rPr>
                <w:rFonts w:ascii="Times New Roman" w:hAnsi="Times New Roman"/>
                <w:sz w:val="24"/>
                <w:szCs w:val="24"/>
                <w:lang w:val="bg-BG"/>
              </w:rPr>
              <w:t>Х</w:t>
            </w:r>
          </w:p>
        </w:tc>
        <w:tc>
          <w:tcPr>
            <w:tcW w:w="10629" w:type="dxa"/>
          </w:tcPr>
          <w:p w14:paraId="49F85713" w14:textId="7DD34049" w:rsidR="001B6AFC" w:rsidRPr="00252C06" w:rsidRDefault="001B6AFC" w:rsidP="001B6AFC">
            <w:pPr>
              <w:spacing w:after="120"/>
              <w:jc w:val="both"/>
              <w:rPr>
                <w:rFonts w:ascii="Times New Roman" w:hAnsi="Times New Roman"/>
                <w:sz w:val="24"/>
                <w:szCs w:val="24"/>
                <w:lang w:val="bg-BG"/>
              </w:rPr>
            </w:pPr>
            <w:r w:rsidRPr="00252C06">
              <w:rPr>
                <w:rFonts w:ascii="Times New Roman" w:hAnsi="Times New Roman"/>
                <w:sz w:val="24"/>
                <w:szCs w:val="24"/>
                <w:lang w:val="bg-BG"/>
              </w:rPr>
              <w:t xml:space="preserve">Мярката няма да допринесе пряко за адаптирането към изменението на климата, но има непряко въздействие - зарядните станции като съоръжения са по-устойчиви на екстремни явления, произтичащи от изменението на климата, отколкото традиционните бензиностанции и </w:t>
            </w:r>
            <w:r w:rsidR="00252C06" w:rsidRPr="00252C06">
              <w:rPr>
                <w:rFonts w:ascii="Times New Roman" w:hAnsi="Times New Roman"/>
                <w:sz w:val="24"/>
                <w:szCs w:val="24"/>
                <w:lang w:val="bg-BG"/>
              </w:rPr>
              <w:t>газстанции</w:t>
            </w:r>
            <w:r w:rsidRPr="00252C06">
              <w:rPr>
                <w:rFonts w:ascii="Times New Roman" w:hAnsi="Times New Roman"/>
                <w:sz w:val="24"/>
                <w:szCs w:val="24"/>
                <w:lang w:val="bg-BG"/>
              </w:rPr>
              <w:t>, както и на евентуални щети, дължащи се на явления, свързани с екстремни метеорологични условия, които ще имат много по-малко въздействие върху околната среда и населението като цяло (не са свързани с генериране на разливи/изтичане на опасни вещества, замърсяване на околната среда или риск за човешкото здраве). При ситуирането на инфраструктурата за алтернативни горива като местоположение ще бъдат взети предвид рисковете от неблагоприятни метеорологични явления и наводнения в района и уязвимостта на планирания терен (потенциал за свлачища, наклон на терена).</w:t>
            </w:r>
          </w:p>
          <w:p w14:paraId="487A67FA" w14:textId="45A31B03" w:rsidR="001B6AFC" w:rsidRPr="00252C06" w:rsidRDefault="001B6AFC" w:rsidP="003E53B9">
            <w:pPr>
              <w:spacing w:after="120"/>
              <w:jc w:val="both"/>
              <w:rPr>
                <w:rFonts w:ascii="Times New Roman" w:hAnsi="Times New Roman"/>
                <w:sz w:val="24"/>
                <w:szCs w:val="24"/>
                <w:lang w:val="bg-BG"/>
              </w:rPr>
            </w:pPr>
            <w:r w:rsidRPr="00252C06">
              <w:rPr>
                <w:rFonts w:ascii="Times New Roman" w:hAnsi="Times New Roman"/>
                <w:sz w:val="24"/>
                <w:szCs w:val="24"/>
                <w:lang w:val="bg-BG"/>
              </w:rPr>
              <w:t xml:space="preserve">Поради това може да се счита, че мярката допринася за постигането на целта за опазване на околната среда, като осигурява инвестиции в устойчива на рискове от бедствия инфраструктура, определена като приоритетна област за действие в Националната стратегия за намаляване </w:t>
            </w:r>
            <w:r w:rsidR="003E53B9" w:rsidRPr="00252C06">
              <w:rPr>
                <w:rFonts w:ascii="Times New Roman" w:hAnsi="Times New Roman"/>
                <w:sz w:val="24"/>
                <w:szCs w:val="24"/>
                <w:lang w:val="bg-BG"/>
              </w:rPr>
              <w:t>на риска от бедствия до 2030 година.</w:t>
            </w:r>
          </w:p>
        </w:tc>
      </w:tr>
      <w:tr w:rsidR="00894435" w:rsidRPr="00252C06" w14:paraId="433DA9E3" w14:textId="77777777" w:rsidTr="00A912EA">
        <w:tc>
          <w:tcPr>
            <w:tcW w:w="3403" w:type="dxa"/>
          </w:tcPr>
          <w:p w14:paraId="13CC300F" w14:textId="363443E3" w:rsidR="00894435" w:rsidRPr="00D8178D" w:rsidRDefault="00252C06" w:rsidP="00252C06">
            <w:pPr>
              <w:spacing w:after="120"/>
              <w:jc w:val="both"/>
              <w:rPr>
                <w:rFonts w:ascii="Times New Roman" w:hAnsi="Times New Roman"/>
                <w:b/>
                <w:sz w:val="24"/>
                <w:szCs w:val="24"/>
                <w:lang w:val="bg-BG"/>
              </w:rPr>
            </w:pPr>
            <w:r w:rsidRPr="00D8178D">
              <w:rPr>
                <w:rFonts w:ascii="Times New Roman" w:hAnsi="Times New Roman"/>
                <w:b/>
                <w:sz w:val="24"/>
                <w:szCs w:val="24"/>
                <w:lang w:val="bg-BG"/>
              </w:rPr>
              <w:t xml:space="preserve">Устойчиво използване и опазване на водните и </w:t>
            </w:r>
            <w:r w:rsidRPr="00D8178D">
              <w:rPr>
                <w:rFonts w:ascii="Times New Roman" w:hAnsi="Times New Roman"/>
                <w:b/>
                <w:sz w:val="24"/>
                <w:szCs w:val="24"/>
                <w:lang w:val="bg-BG"/>
              </w:rPr>
              <w:lastRenderedPageBreak/>
              <w:t>морските ресурси</w:t>
            </w:r>
          </w:p>
        </w:tc>
        <w:tc>
          <w:tcPr>
            <w:tcW w:w="496" w:type="dxa"/>
          </w:tcPr>
          <w:p w14:paraId="1B5C7C2E" w14:textId="77777777" w:rsidR="00894435" w:rsidRPr="000A4C0A" w:rsidRDefault="00894435" w:rsidP="00657D6C">
            <w:pPr>
              <w:spacing w:after="120"/>
              <w:jc w:val="both"/>
              <w:rPr>
                <w:rFonts w:ascii="Times New Roman" w:hAnsi="Times New Roman"/>
                <w:sz w:val="24"/>
                <w:szCs w:val="24"/>
                <w:lang w:val="bg-BG"/>
              </w:rPr>
            </w:pPr>
          </w:p>
        </w:tc>
        <w:tc>
          <w:tcPr>
            <w:tcW w:w="604" w:type="dxa"/>
          </w:tcPr>
          <w:p w14:paraId="4614A430" w14:textId="77777777" w:rsidR="00894435" w:rsidRPr="000A4C0A" w:rsidRDefault="00894435" w:rsidP="00657D6C">
            <w:pPr>
              <w:spacing w:after="120"/>
              <w:jc w:val="both"/>
              <w:rPr>
                <w:rFonts w:ascii="Times New Roman" w:hAnsi="Times New Roman"/>
                <w:sz w:val="24"/>
                <w:szCs w:val="24"/>
                <w:lang w:val="bg-BG"/>
              </w:rPr>
            </w:pPr>
            <w:r w:rsidRPr="000A4C0A">
              <w:rPr>
                <w:rFonts w:ascii="Times New Roman" w:hAnsi="Times New Roman"/>
                <w:sz w:val="24"/>
                <w:szCs w:val="24"/>
                <w:lang w:val="bg-BG"/>
              </w:rPr>
              <w:t>Х</w:t>
            </w:r>
          </w:p>
        </w:tc>
        <w:tc>
          <w:tcPr>
            <w:tcW w:w="10629" w:type="dxa"/>
          </w:tcPr>
          <w:p w14:paraId="19EF40C1" w14:textId="77777777" w:rsidR="00252C06" w:rsidRPr="000A4C0A" w:rsidRDefault="00252C06" w:rsidP="00252C06">
            <w:pPr>
              <w:spacing w:after="120"/>
              <w:jc w:val="both"/>
              <w:rPr>
                <w:rFonts w:ascii="Times New Roman" w:hAnsi="Times New Roman"/>
                <w:sz w:val="24"/>
                <w:szCs w:val="24"/>
                <w:lang w:val="bg-BG"/>
              </w:rPr>
            </w:pPr>
            <w:r w:rsidRPr="000A4C0A">
              <w:rPr>
                <w:rFonts w:ascii="Times New Roman" w:hAnsi="Times New Roman"/>
                <w:sz w:val="24"/>
                <w:szCs w:val="24"/>
                <w:lang w:val="bg-BG"/>
              </w:rPr>
              <w:t xml:space="preserve">Изграждането на инфраструктурата за алтернативни горива ще бъде извършено в съответствие с приложимото законодателство в областта на околната среда, а местоположението ще бъде избрано, </w:t>
            </w:r>
            <w:r w:rsidRPr="000A4C0A">
              <w:rPr>
                <w:rFonts w:ascii="Times New Roman" w:hAnsi="Times New Roman"/>
                <w:sz w:val="24"/>
                <w:szCs w:val="24"/>
                <w:lang w:val="bg-BG"/>
              </w:rPr>
              <w:lastRenderedPageBreak/>
              <w:t>като се вземат предвид рисковете от неблагоприятни метеорологични явления и наводнения в района и уязвимостта на планирания терен (потенциал за свлачища, наклон на терена);</w:t>
            </w:r>
          </w:p>
          <w:p w14:paraId="0A93FA0B" w14:textId="77777777" w:rsidR="00252C06" w:rsidRPr="000A4C0A" w:rsidRDefault="00252C06" w:rsidP="00252C06">
            <w:pPr>
              <w:spacing w:after="120"/>
              <w:jc w:val="both"/>
              <w:rPr>
                <w:rFonts w:ascii="Times New Roman" w:hAnsi="Times New Roman"/>
                <w:sz w:val="24"/>
                <w:szCs w:val="24"/>
                <w:lang w:val="bg-BG"/>
              </w:rPr>
            </w:pPr>
            <w:r w:rsidRPr="000A4C0A">
              <w:rPr>
                <w:rFonts w:ascii="Times New Roman" w:hAnsi="Times New Roman"/>
                <w:sz w:val="24"/>
                <w:szCs w:val="24"/>
                <w:lang w:val="bg-BG"/>
              </w:rPr>
              <w:t>Инфраструктурата за таксуване не е свързана с използване на вода или заустване на отпадъчни води във водни обекти, поради което не се очаква отрицателно въздействие върху водните и морските ресурси, също съгласно Доклада за СЕО на Програмата за транспортна свързаност 2021-2027 г.</w:t>
            </w:r>
          </w:p>
          <w:p w14:paraId="6869F089" w14:textId="5E53D0C2" w:rsidR="00252C06" w:rsidRPr="000A4C0A" w:rsidRDefault="00252C06" w:rsidP="000A4C0A">
            <w:pPr>
              <w:spacing w:after="120"/>
              <w:jc w:val="both"/>
              <w:rPr>
                <w:rFonts w:ascii="Times New Roman" w:hAnsi="Times New Roman"/>
                <w:sz w:val="24"/>
                <w:szCs w:val="24"/>
                <w:lang w:val="bg-BG"/>
              </w:rPr>
            </w:pPr>
            <w:r w:rsidRPr="000A4C0A">
              <w:rPr>
                <w:rFonts w:ascii="Times New Roman" w:hAnsi="Times New Roman"/>
                <w:sz w:val="24"/>
                <w:szCs w:val="24"/>
                <w:lang w:val="bg-BG"/>
              </w:rPr>
              <w:t>Поради това, както и поради естеството на дейностите, се счита, че те са в съответствие с принципа на DNSH за целта на околната среда.</w:t>
            </w:r>
          </w:p>
        </w:tc>
      </w:tr>
      <w:tr w:rsidR="00894435" w:rsidRPr="00252C06" w14:paraId="2685D7E2" w14:textId="77777777" w:rsidTr="00A912EA">
        <w:tc>
          <w:tcPr>
            <w:tcW w:w="3403" w:type="dxa"/>
          </w:tcPr>
          <w:p w14:paraId="2FAB3572" w14:textId="1B4E7A00" w:rsidR="00894435" w:rsidRPr="00D8178D" w:rsidRDefault="000A4C0A" w:rsidP="000A4C0A">
            <w:pPr>
              <w:spacing w:after="120"/>
              <w:jc w:val="both"/>
              <w:rPr>
                <w:rFonts w:ascii="Times New Roman" w:hAnsi="Times New Roman"/>
                <w:b/>
                <w:sz w:val="24"/>
                <w:szCs w:val="24"/>
                <w:lang w:val="bg-BG"/>
              </w:rPr>
            </w:pPr>
            <w:r w:rsidRPr="00D8178D">
              <w:rPr>
                <w:rFonts w:ascii="Times New Roman" w:hAnsi="Times New Roman"/>
                <w:b/>
                <w:sz w:val="24"/>
                <w:szCs w:val="24"/>
                <w:lang w:val="bg-BG"/>
              </w:rPr>
              <w:lastRenderedPageBreak/>
              <w:t>Кръгова икономика, включително предотвратяването на образуването на отпадъци и тяхното рециклиране</w:t>
            </w:r>
          </w:p>
        </w:tc>
        <w:tc>
          <w:tcPr>
            <w:tcW w:w="496" w:type="dxa"/>
          </w:tcPr>
          <w:p w14:paraId="562E10EF" w14:textId="77777777" w:rsidR="00894435" w:rsidRPr="000A4C0A" w:rsidRDefault="00894435" w:rsidP="00657D6C">
            <w:pPr>
              <w:spacing w:after="120"/>
              <w:jc w:val="both"/>
              <w:rPr>
                <w:rFonts w:ascii="Times New Roman" w:hAnsi="Times New Roman"/>
                <w:sz w:val="24"/>
                <w:szCs w:val="24"/>
                <w:lang w:val="bg-BG"/>
              </w:rPr>
            </w:pPr>
          </w:p>
        </w:tc>
        <w:tc>
          <w:tcPr>
            <w:tcW w:w="604" w:type="dxa"/>
          </w:tcPr>
          <w:p w14:paraId="404C7558" w14:textId="77777777" w:rsidR="00894435" w:rsidRPr="000A4C0A" w:rsidRDefault="00894435" w:rsidP="00657D6C">
            <w:pPr>
              <w:spacing w:after="120"/>
              <w:jc w:val="both"/>
              <w:rPr>
                <w:rFonts w:ascii="Times New Roman" w:hAnsi="Times New Roman"/>
                <w:sz w:val="24"/>
                <w:szCs w:val="24"/>
                <w:lang w:val="bg-BG"/>
              </w:rPr>
            </w:pPr>
            <w:r w:rsidRPr="000A4C0A">
              <w:rPr>
                <w:rFonts w:ascii="Times New Roman" w:hAnsi="Times New Roman"/>
                <w:sz w:val="24"/>
                <w:szCs w:val="24"/>
                <w:lang w:val="bg-BG"/>
              </w:rPr>
              <w:t>Х</w:t>
            </w:r>
          </w:p>
        </w:tc>
        <w:tc>
          <w:tcPr>
            <w:tcW w:w="10629" w:type="dxa"/>
          </w:tcPr>
          <w:p w14:paraId="45BD8D3B" w14:textId="77777777" w:rsidR="000A4C0A" w:rsidRPr="000A4C0A" w:rsidRDefault="000A4C0A" w:rsidP="000A4C0A">
            <w:pPr>
              <w:spacing w:after="120"/>
              <w:jc w:val="both"/>
              <w:rPr>
                <w:rFonts w:ascii="Times New Roman" w:hAnsi="Times New Roman"/>
                <w:sz w:val="24"/>
                <w:szCs w:val="24"/>
                <w:lang w:val="bg-BG"/>
              </w:rPr>
            </w:pPr>
            <w:r w:rsidRPr="000A4C0A">
              <w:rPr>
                <w:rFonts w:ascii="Times New Roman" w:hAnsi="Times New Roman"/>
                <w:sz w:val="24"/>
                <w:szCs w:val="24"/>
                <w:lang w:val="bg-BG"/>
              </w:rPr>
              <w:t xml:space="preserve">Изпълнението на проектите не изисква значителни първични природни ресурси, тъй като проектът ще се реализира върху съществуваща транспортна инфраструктура, като се използва готово техническо оборудване. </w:t>
            </w:r>
          </w:p>
          <w:p w14:paraId="13DFEE2C" w14:textId="77777777" w:rsidR="000A4C0A" w:rsidRPr="000A4C0A" w:rsidRDefault="000A4C0A" w:rsidP="000A4C0A">
            <w:pPr>
              <w:spacing w:after="120"/>
              <w:jc w:val="both"/>
              <w:rPr>
                <w:rFonts w:ascii="Times New Roman" w:hAnsi="Times New Roman"/>
                <w:sz w:val="24"/>
                <w:szCs w:val="24"/>
                <w:lang w:val="bg-BG"/>
              </w:rPr>
            </w:pPr>
            <w:r w:rsidRPr="000A4C0A">
              <w:rPr>
                <w:rFonts w:ascii="Times New Roman" w:hAnsi="Times New Roman"/>
                <w:sz w:val="24"/>
                <w:szCs w:val="24"/>
                <w:lang w:val="bg-BG"/>
              </w:rPr>
              <w:t>На етапа на строителство и експлоатация на проектите по тази мярка не се генерират значителни количества отпадъци.</w:t>
            </w:r>
          </w:p>
          <w:p w14:paraId="10C0CA61" w14:textId="77777777" w:rsidR="000A4C0A" w:rsidRPr="000A4C0A" w:rsidRDefault="000A4C0A" w:rsidP="000A4C0A">
            <w:pPr>
              <w:spacing w:after="120"/>
              <w:jc w:val="both"/>
              <w:rPr>
                <w:rFonts w:ascii="Times New Roman" w:hAnsi="Times New Roman"/>
                <w:sz w:val="24"/>
                <w:szCs w:val="24"/>
                <w:lang w:val="bg-BG"/>
              </w:rPr>
            </w:pPr>
            <w:r w:rsidRPr="000A4C0A">
              <w:rPr>
                <w:rFonts w:ascii="Times New Roman" w:hAnsi="Times New Roman"/>
                <w:sz w:val="24"/>
                <w:szCs w:val="24"/>
                <w:lang w:val="bg-BG"/>
              </w:rPr>
              <w:t>При правилно управление на генерираните отпадъци, главно от строителните дейности, не може да се очаква значително отрицателно въздействие.</w:t>
            </w:r>
          </w:p>
          <w:p w14:paraId="4F20AE26" w14:textId="77777777" w:rsidR="000A4C0A" w:rsidRPr="000A4C0A" w:rsidRDefault="000A4C0A" w:rsidP="000A4C0A">
            <w:pPr>
              <w:spacing w:after="120"/>
              <w:jc w:val="both"/>
              <w:rPr>
                <w:rFonts w:ascii="Times New Roman" w:hAnsi="Times New Roman"/>
                <w:sz w:val="24"/>
                <w:szCs w:val="24"/>
                <w:lang w:val="bg-BG"/>
              </w:rPr>
            </w:pPr>
            <w:r w:rsidRPr="000A4C0A">
              <w:rPr>
                <w:rFonts w:ascii="Times New Roman" w:hAnsi="Times New Roman"/>
                <w:sz w:val="24"/>
                <w:szCs w:val="24"/>
                <w:lang w:val="bg-BG"/>
              </w:rPr>
              <w:t>За всеки строителен проект, в съответствие с националното законодателство в областта на управлението на отпадъците, ще бъде разработен и изцяло приложен План за управление на строителните отпадъци.</w:t>
            </w:r>
          </w:p>
          <w:p w14:paraId="5037816C" w14:textId="626EBFF6" w:rsidR="000A4C0A" w:rsidRPr="000A4C0A" w:rsidRDefault="000A4C0A" w:rsidP="000A4C0A">
            <w:pPr>
              <w:spacing w:after="120"/>
              <w:jc w:val="both"/>
              <w:rPr>
                <w:rFonts w:ascii="Times New Roman" w:hAnsi="Times New Roman"/>
                <w:sz w:val="24"/>
                <w:szCs w:val="24"/>
                <w:lang w:val="bg-BG"/>
              </w:rPr>
            </w:pPr>
            <w:r w:rsidRPr="000A4C0A">
              <w:rPr>
                <w:rFonts w:ascii="Times New Roman" w:hAnsi="Times New Roman"/>
                <w:sz w:val="24"/>
                <w:szCs w:val="24"/>
                <w:lang w:val="bg-BG"/>
              </w:rPr>
              <w:t>Поради това и като се има предвид естеството на предвидимите въздействия, се счита, че мерките са в съответствие с принципа на DNSH за целта на околната среда.</w:t>
            </w:r>
          </w:p>
          <w:p w14:paraId="036DCE09" w14:textId="5CA20F72" w:rsidR="000A4C0A" w:rsidRPr="000A4C0A" w:rsidRDefault="000A4C0A" w:rsidP="00657D6C">
            <w:pPr>
              <w:spacing w:after="120"/>
              <w:jc w:val="both"/>
              <w:rPr>
                <w:rFonts w:ascii="Times New Roman" w:hAnsi="Times New Roman"/>
                <w:sz w:val="24"/>
                <w:szCs w:val="24"/>
                <w:lang w:val="bg-BG"/>
              </w:rPr>
            </w:pPr>
          </w:p>
        </w:tc>
      </w:tr>
      <w:tr w:rsidR="00894435" w:rsidRPr="00252C06" w14:paraId="4683C639" w14:textId="77777777" w:rsidTr="00A912EA">
        <w:tc>
          <w:tcPr>
            <w:tcW w:w="3403" w:type="dxa"/>
          </w:tcPr>
          <w:p w14:paraId="77B7BDCF" w14:textId="6E0DEB5C" w:rsidR="00894435" w:rsidRPr="007240CB" w:rsidRDefault="00A81F9E" w:rsidP="00A81F9E">
            <w:pPr>
              <w:spacing w:after="120"/>
              <w:jc w:val="both"/>
              <w:rPr>
                <w:rFonts w:ascii="Times New Roman" w:hAnsi="Times New Roman"/>
                <w:b/>
                <w:sz w:val="24"/>
                <w:szCs w:val="24"/>
                <w:lang w:val="bg-BG"/>
              </w:rPr>
            </w:pPr>
            <w:r w:rsidRPr="007240CB">
              <w:rPr>
                <w:rFonts w:ascii="Times New Roman" w:hAnsi="Times New Roman"/>
                <w:b/>
                <w:sz w:val="24"/>
                <w:szCs w:val="24"/>
                <w:lang w:val="bg-BG"/>
              </w:rPr>
              <w:t>Предотвратяване и контрол на замърсяването</w:t>
            </w:r>
          </w:p>
        </w:tc>
        <w:tc>
          <w:tcPr>
            <w:tcW w:w="496" w:type="dxa"/>
          </w:tcPr>
          <w:p w14:paraId="5EF99DB1" w14:textId="77777777" w:rsidR="00894435" w:rsidRPr="00427754" w:rsidRDefault="00894435" w:rsidP="00657D6C">
            <w:pPr>
              <w:spacing w:after="120"/>
              <w:jc w:val="both"/>
              <w:rPr>
                <w:rFonts w:ascii="Times New Roman" w:hAnsi="Times New Roman"/>
                <w:sz w:val="24"/>
                <w:szCs w:val="24"/>
                <w:lang w:val="bg-BG"/>
              </w:rPr>
            </w:pPr>
          </w:p>
        </w:tc>
        <w:tc>
          <w:tcPr>
            <w:tcW w:w="604" w:type="dxa"/>
          </w:tcPr>
          <w:p w14:paraId="292373EE" w14:textId="77777777" w:rsidR="00894435" w:rsidRPr="00427754" w:rsidRDefault="00894435" w:rsidP="00657D6C">
            <w:pPr>
              <w:spacing w:after="120"/>
              <w:jc w:val="both"/>
              <w:rPr>
                <w:rFonts w:ascii="Times New Roman" w:hAnsi="Times New Roman"/>
                <w:sz w:val="24"/>
                <w:szCs w:val="24"/>
                <w:lang w:val="bg-BG"/>
              </w:rPr>
            </w:pPr>
            <w:r w:rsidRPr="00427754">
              <w:rPr>
                <w:rFonts w:ascii="Times New Roman" w:hAnsi="Times New Roman"/>
                <w:sz w:val="24"/>
                <w:szCs w:val="24"/>
                <w:lang w:val="bg-BG"/>
              </w:rPr>
              <w:t>Х</w:t>
            </w:r>
          </w:p>
        </w:tc>
        <w:tc>
          <w:tcPr>
            <w:tcW w:w="10629" w:type="dxa"/>
          </w:tcPr>
          <w:p w14:paraId="4625D523" w14:textId="62467105" w:rsidR="0045731E" w:rsidRPr="00427754" w:rsidRDefault="0045731E" w:rsidP="0045731E">
            <w:pPr>
              <w:spacing w:after="120"/>
              <w:jc w:val="both"/>
              <w:rPr>
                <w:rFonts w:ascii="Times New Roman" w:hAnsi="Times New Roman"/>
                <w:sz w:val="24"/>
                <w:szCs w:val="24"/>
                <w:lang w:val="bg-BG"/>
              </w:rPr>
            </w:pPr>
            <w:r w:rsidRPr="00427754">
              <w:rPr>
                <w:rFonts w:ascii="Times New Roman" w:hAnsi="Times New Roman"/>
                <w:sz w:val="24"/>
                <w:szCs w:val="24"/>
                <w:lang w:val="bg-BG"/>
              </w:rPr>
              <w:t xml:space="preserve">Дейностите по мярката не са свързани със значителни емисии на замърсители </w:t>
            </w:r>
            <w:r w:rsidR="00427754" w:rsidRPr="00427754">
              <w:rPr>
                <w:rFonts w:ascii="Times New Roman" w:hAnsi="Times New Roman"/>
                <w:sz w:val="24"/>
                <w:szCs w:val="24"/>
                <w:lang w:val="bg-BG"/>
              </w:rPr>
              <w:t>на</w:t>
            </w:r>
            <w:r w:rsidRPr="00427754">
              <w:rPr>
                <w:rFonts w:ascii="Times New Roman" w:hAnsi="Times New Roman"/>
                <w:sz w:val="24"/>
                <w:szCs w:val="24"/>
                <w:lang w:val="bg-BG"/>
              </w:rPr>
              <w:t xml:space="preserve"> околната среда - само по време на изграждането на инфраструктурата се очакват незначителни емисии в атмосферата, с локално, ограничено по обхват и напълно обратимо въздействие.</w:t>
            </w:r>
          </w:p>
          <w:p w14:paraId="346E7522" w14:textId="77777777" w:rsidR="0045731E" w:rsidRPr="00427754" w:rsidRDefault="0045731E" w:rsidP="0045731E">
            <w:pPr>
              <w:spacing w:after="120"/>
              <w:jc w:val="both"/>
              <w:rPr>
                <w:rFonts w:ascii="Times New Roman" w:hAnsi="Times New Roman"/>
                <w:sz w:val="24"/>
                <w:szCs w:val="24"/>
                <w:lang w:val="bg-BG"/>
              </w:rPr>
            </w:pPr>
            <w:r w:rsidRPr="00427754">
              <w:rPr>
                <w:rFonts w:ascii="Times New Roman" w:hAnsi="Times New Roman"/>
                <w:sz w:val="24"/>
                <w:szCs w:val="24"/>
                <w:lang w:val="bg-BG"/>
              </w:rPr>
              <w:t>Проектите за изграждане на инфраструктура за зареждане с алтернативни горива ще допринесат значително за подобряване на качеството на атмосферния въздух, намаляване на замърсяването от МПС и за опазване на околната среда, съответно мярката допринася за постигане на целта за опазване на околната среда.</w:t>
            </w:r>
          </w:p>
          <w:p w14:paraId="019B8681" w14:textId="00A08C13" w:rsidR="0045731E" w:rsidRPr="00427754" w:rsidRDefault="0045731E" w:rsidP="0045731E">
            <w:pPr>
              <w:spacing w:after="120"/>
              <w:jc w:val="both"/>
              <w:rPr>
                <w:rFonts w:ascii="Times New Roman" w:hAnsi="Times New Roman"/>
                <w:sz w:val="24"/>
                <w:szCs w:val="24"/>
                <w:lang w:val="bg-BG"/>
              </w:rPr>
            </w:pPr>
            <w:r w:rsidRPr="00427754">
              <w:rPr>
                <w:rFonts w:ascii="Times New Roman" w:hAnsi="Times New Roman"/>
                <w:sz w:val="24"/>
                <w:szCs w:val="24"/>
                <w:lang w:val="bg-BG"/>
              </w:rPr>
              <w:lastRenderedPageBreak/>
              <w:t xml:space="preserve">Поради това и поради естеството на дейностите се счита, че те са в съответствие с принципа на </w:t>
            </w:r>
            <w:r w:rsidR="00427754" w:rsidRPr="00427754">
              <w:rPr>
                <w:rFonts w:ascii="Times New Roman" w:hAnsi="Times New Roman"/>
                <w:sz w:val="24"/>
                <w:szCs w:val="24"/>
                <w:lang w:val="bg-BG"/>
              </w:rPr>
              <w:t xml:space="preserve">DNSH </w:t>
            </w:r>
            <w:r w:rsidRPr="00427754">
              <w:rPr>
                <w:rFonts w:ascii="Times New Roman" w:hAnsi="Times New Roman"/>
                <w:sz w:val="24"/>
                <w:szCs w:val="24"/>
                <w:lang w:val="bg-BG"/>
              </w:rPr>
              <w:t>за постигане на екологичната цел.</w:t>
            </w:r>
          </w:p>
        </w:tc>
      </w:tr>
      <w:tr w:rsidR="00894435" w:rsidRPr="00252C06" w14:paraId="07112B29" w14:textId="77777777" w:rsidTr="00A912EA">
        <w:tc>
          <w:tcPr>
            <w:tcW w:w="3403" w:type="dxa"/>
          </w:tcPr>
          <w:p w14:paraId="48585DDC" w14:textId="693A87DA" w:rsidR="00894435" w:rsidRPr="00252C06" w:rsidRDefault="00BF7EAD" w:rsidP="00BF7EAD">
            <w:pPr>
              <w:spacing w:after="120"/>
              <w:jc w:val="both"/>
              <w:rPr>
                <w:szCs w:val="20"/>
                <w:lang w:val="bg-BG"/>
              </w:rPr>
            </w:pPr>
            <w:r>
              <w:rPr>
                <w:rFonts w:ascii="Times New Roman" w:hAnsi="Times New Roman"/>
                <w:b/>
                <w:sz w:val="24"/>
                <w:szCs w:val="24"/>
                <w:lang w:val="bg-BG"/>
              </w:rPr>
              <w:lastRenderedPageBreak/>
              <w:t>З</w:t>
            </w:r>
            <w:r w:rsidRPr="00252C06">
              <w:rPr>
                <w:rFonts w:ascii="Times New Roman" w:hAnsi="Times New Roman"/>
                <w:b/>
                <w:sz w:val="24"/>
                <w:szCs w:val="24"/>
                <w:lang w:val="bg-BG"/>
              </w:rPr>
              <w:t>ащита и възстановяване на биологичното разнообразие и екосистемите</w:t>
            </w:r>
          </w:p>
        </w:tc>
        <w:tc>
          <w:tcPr>
            <w:tcW w:w="496" w:type="dxa"/>
          </w:tcPr>
          <w:p w14:paraId="0115AE79" w14:textId="77777777" w:rsidR="00894435" w:rsidRPr="00252C06" w:rsidRDefault="00894435" w:rsidP="00657D6C">
            <w:pPr>
              <w:spacing w:after="120"/>
              <w:jc w:val="both"/>
              <w:rPr>
                <w:sz w:val="18"/>
                <w:szCs w:val="22"/>
                <w:lang w:val="bg-BG"/>
              </w:rPr>
            </w:pPr>
          </w:p>
        </w:tc>
        <w:tc>
          <w:tcPr>
            <w:tcW w:w="604" w:type="dxa"/>
          </w:tcPr>
          <w:p w14:paraId="37D2FA80" w14:textId="77777777" w:rsidR="00894435" w:rsidRPr="00BF7EAD" w:rsidRDefault="00894435" w:rsidP="00657D6C">
            <w:pPr>
              <w:spacing w:after="120"/>
              <w:jc w:val="both"/>
              <w:rPr>
                <w:rFonts w:ascii="Times New Roman" w:hAnsi="Times New Roman"/>
                <w:sz w:val="24"/>
                <w:szCs w:val="24"/>
                <w:lang w:val="bg-BG"/>
              </w:rPr>
            </w:pPr>
            <w:r w:rsidRPr="00BF7EAD">
              <w:rPr>
                <w:rFonts w:ascii="Times New Roman" w:hAnsi="Times New Roman"/>
                <w:sz w:val="24"/>
                <w:szCs w:val="24"/>
                <w:lang w:val="bg-BG"/>
              </w:rPr>
              <w:t>Х</w:t>
            </w:r>
          </w:p>
        </w:tc>
        <w:tc>
          <w:tcPr>
            <w:tcW w:w="10629" w:type="dxa"/>
          </w:tcPr>
          <w:p w14:paraId="612B2C1E" w14:textId="77777777" w:rsidR="00BF7EAD" w:rsidRPr="00BF7EAD" w:rsidRDefault="00BF7EAD" w:rsidP="00BF7EAD">
            <w:pPr>
              <w:spacing w:after="120"/>
              <w:jc w:val="both"/>
              <w:rPr>
                <w:rFonts w:ascii="Times New Roman" w:hAnsi="Times New Roman"/>
                <w:sz w:val="24"/>
                <w:szCs w:val="24"/>
                <w:lang w:val="bg-BG"/>
              </w:rPr>
            </w:pPr>
            <w:r w:rsidRPr="00BF7EAD">
              <w:rPr>
                <w:rFonts w:ascii="Times New Roman" w:hAnsi="Times New Roman"/>
                <w:sz w:val="24"/>
                <w:szCs w:val="24"/>
                <w:lang w:val="bg-BG"/>
              </w:rPr>
              <w:t xml:space="preserve">Дейностите по изграждането на инфраструктурата ще се осъществяват в рамките на вече използваните терени за пътища и пристанища и в тази връзка не се очаква отрицателно въздействие върху биологичното разнообразие - както пряко, така и косвено. </w:t>
            </w:r>
          </w:p>
          <w:p w14:paraId="52A10A33" w14:textId="07238FDC" w:rsidR="00BF7EAD" w:rsidRPr="00BF7EAD" w:rsidRDefault="00BF7EAD" w:rsidP="00BF7EAD">
            <w:pPr>
              <w:spacing w:after="120"/>
              <w:jc w:val="both"/>
              <w:rPr>
                <w:rFonts w:ascii="Times New Roman" w:hAnsi="Times New Roman"/>
                <w:sz w:val="24"/>
                <w:szCs w:val="24"/>
                <w:lang w:val="bg-BG"/>
              </w:rPr>
            </w:pPr>
            <w:r w:rsidRPr="00BF7EAD">
              <w:rPr>
                <w:rFonts w:ascii="Times New Roman" w:hAnsi="Times New Roman"/>
                <w:sz w:val="24"/>
                <w:szCs w:val="24"/>
                <w:lang w:val="bg-BG"/>
              </w:rPr>
              <w:t>Поради това и поради естеството на дейностите се счита, че те са в съответствие с принципа на DNSH за постигане на екологичната цел.</w:t>
            </w:r>
          </w:p>
        </w:tc>
      </w:tr>
    </w:tbl>
    <w:p w14:paraId="6041ACBB" w14:textId="06583A19" w:rsidR="00894435" w:rsidRPr="00252C06" w:rsidRDefault="00894435" w:rsidP="00DE6316">
      <w:pPr>
        <w:pStyle w:val="ListParagraph"/>
        <w:spacing w:after="120" w:line="276" w:lineRule="auto"/>
        <w:ind w:left="0" w:firstLine="709"/>
        <w:jc w:val="both"/>
        <w:rPr>
          <w:rFonts w:ascii="Times New Roman" w:hAnsi="Times New Roman"/>
          <w:sz w:val="24"/>
          <w:szCs w:val="24"/>
        </w:rPr>
      </w:pPr>
    </w:p>
    <w:p w14:paraId="52A287E1" w14:textId="7674750E" w:rsidR="00894435" w:rsidRPr="00252C06" w:rsidRDefault="00894435" w:rsidP="00DE6316">
      <w:pPr>
        <w:pStyle w:val="ListParagraph"/>
        <w:spacing w:after="120" w:line="276" w:lineRule="auto"/>
        <w:ind w:left="0" w:firstLine="709"/>
        <w:jc w:val="both"/>
        <w:rPr>
          <w:rFonts w:ascii="Times New Roman" w:hAnsi="Times New Roman"/>
          <w:sz w:val="24"/>
          <w:szCs w:val="24"/>
        </w:rPr>
      </w:pPr>
    </w:p>
    <w:p w14:paraId="08D62D6F" w14:textId="77777777" w:rsidR="00894435" w:rsidRPr="00252C06" w:rsidRDefault="00894435" w:rsidP="00DE6316">
      <w:pPr>
        <w:pStyle w:val="ListParagraph"/>
        <w:spacing w:after="120" w:line="276" w:lineRule="auto"/>
        <w:ind w:left="0" w:firstLine="709"/>
        <w:jc w:val="both"/>
        <w:rPr>
          <w:rFonts w:ascii="Times New Roman" w:hAnsi="Times New Roman"/>
          <w:sz w:val="24"/>
          <w:szCs w:val="24"/>
        </w:rPr>
      </w:pPr>
    </w:p>
    <w:p w14:paraId="375886D9" w14:textId="77777777" w:rsidR="00894435" w:rsidRPr="00252C06" w:rsidRDefault="00894435" w:rsidP="00DE6316">
      <w:pPr>
        <w:pStyle w:val="ListParagraph"/>
        <w:spacing w:after="120" w:line="276" w:lineRule="auto"/>
        <w:ind w:left="0" w:firstLine="709"/>
        <w:jc w:val="both"/>
        <w:rPr>
          <w:rFonts w:ascii="Times New Roman" w:hAnsi="Times New Roman"/>
          <w:sz w:val="24"/>
          <w:szCs w:val="24"/>
        </w:rPr>
      </w:pPr>
    </w:p>
    <w:p w14:paraId="4AA879D2" w14:textId="10B2D315" w:rsidR="00DE6316" w:rsidRPr="00252C06" w:rsidRDefault="009B2846" w:rsidP="00DE6316">
      <w:pPr>
        <w:pStyle w:val="ListParagraph"/>
        <w:spacing w:after="120" w:line="276" w:lineRule="auto"/>
        <w:ind w:left="0" w:firstLine="709"/>
        <w:jc w:val="both"/>
        <w:rPr>
          <w:rFonts w:ascii="Times New Roman" w:hAnsi="Times New Roman"/>
          <w:sz w:val="24"/>
          <w:szCs w:val="24"/>
        </w:rPr>
      </w:pPr>
      <w:r w:rsidRPr="00252C06">
        <w:rPr>
          <w:rFonts w:ascii="Times New Roman" w:hAnsi="Times New Roman"/>
          <w:sz w:val="24"/>
          <w:szCs w:val="24"/>
        </w:rPr>
        <w:t>Допълнителна информация относно прилагането</w:t>
      </w:r>
      <w:r w:rsidR="00707B43" w:rsidRPr="00252C06">
        <w:rPr>
          <w:rFonts w:ascii="Times New Roman" w:hAnsi="Times New Roman"/>
          <w:sz w:val="24"/>
          <w:szCs w:val="24"/>
        </w:rPr>
        <w:t xml:space="preserve"> на</w:t>
      </w:r>
      <w:r w:rsidR="00C47C4D" w:rsidRPr="00252C06">
        <w:rPr>
          <w:rFonts w:ascii="Times New Roman" w:hAnsi="Times New Roman"/>
          <w:sz w:val="24"/>
          <w:szCs w:val="24"/>
        </w:rPr>
        <w:t xml:space="preserve"> </w:t>
      </w:r>
      <w:r w:rsidRPr="00252C06">
        <w:rPr>
          <w:rFonts w:ascii="Times New Roman" w:hAnsi="Times New Roman"/>
          <w:sz w:val="24"/>
          <w:szCs w:val="24"/>
        </w:rPr>
        <w:t xml:space="preserve">принципа за </w:t>
      </w:r>
      <w:r w:rsidR="00A05ADF" w:rsidRPr="00252C06">
        <w:rPr>
          <w:rFonts w:ascii="Times New Roman" w:hAnsi="Times New Roman"/>
          <w:sz w:val="24"/>
          <w:szCs w:val="24"/>
        </w:rPr>
        <w:t>„ненанасяне на значителни вреди”</w:t>
      </w:r>
      <w:r w:rsidR="00A95615" w:rsidRPr="00252C06">
        <w:rPr>
          <w:rFonts w:ascii="Times New Roman" w:hAnsi="Times New Roman"/>
          <w:sz w:val="24"/>
          <w:szCs w:val="24"/>
        </w:rPr>
        <w:t xml:space="preserve">, </w:t>
      </w:r>
      <w:r w:rsidR="00707B43" w:rsidRPr="00252C06">
        <w:rPr>
          <w:rFonts w:ascii="Times New Roman" w:hAnsi="Times New Roman"/>
          <w:sz w:val="24"/>
          <w:szCs w:val="24"/>
        </w:rPr>
        <w:t>може да бъде намерена в Регламента за таксономията и</w:t>
      </w:r>
      <w:r w:rsidR="00A95615" w:rsidRPr="00252C06">
        <w:rPr>
          <w:rFonts w:ascii="Times New Roman" w:hAnsi="Times New Roman"/>
          <w:sz w:val="24"/>
          <w:szCs w:val="24"/>
        </w:rPr>
        <w:t xml:space="preserve"> в Известие на Комисията – „Технически насоки за прилагането на принципа за </w:t>
      </w:r>
      <w:r w:rsidR="00A05ADF" w:rsidRPr="00252C06">
        <w:rPr>
          <w:rFonts w:ascii="Times New Roman" w:hAnsi="Times New Roman"/>
          <w:sz w:val="24"/>
          <w:szCs w:val="24"/>
        </w:rPr>
        <w:t>„ненанасяне на значителни вреди”</w:t>
      </w:r>
      <w:r w:rsidR="00A95615" w:rsidRPr="00252C06">
        <w:rPr>
          <w:rFonts w:ascii="Times New Roman" w:hAnsi="Times New Roman"/>
          <w:sz w:val="24"/>
          <w:szCs w:val="24"/>
        </w:rPr>
        <w:t xml:space="preserve"> съгласно Регламента за Механизма за възстановяване и устойчивост (2021/C58/01)</w:t>
      </w:r>
      <w:r w:rsidR="00A05ADF" w:rsidRPr="00252C06">
        <w:rPr>
          <w:rFonts w:ascii="Times New Roman" w:hAnsi="Times New Roman"/>
          <w:sz w:val="24"/>
          <w:szCs w:val="24"/>
        </w:rPr>
        <w:t>”</w:t>
      </w:r>
      <w:r w:rsidR="00707B43" w:rsidRPr="00252C06">
        <w:rPr>
          <w:rFonts w:ascii="Times New Roman" w:hAnsi="Times New Roman"/>
          <w:sz w:val="24"/>
          <w:szCs w:val="24"/>
        </w:rPr>
        <w:t xml:space="preserve">, както и </w:t>
      </w:r>
      <w:r w:rsidR="00C47C4D" w:rsidRPr="00252C06">
        <w:rPr>
          <w:rFonts w:ascii="Times New Roman" w:hAnsi="Times New Roman"/>
          <w:sz w:val="24"/>
          <w:szCs w:val="24"/>
        </w:rPr>
        <w:t xml:space="preserve">в </w:t>
      </w:r>
      <w:r w:rsidR="00707B43" w:rsidRPr="00252C06">
        <w:rPr>
          <w:rFonts w:ascii="Times New Roman" w:hAnsi="Times New Roman"/>
          <w:sz w:val="24"/>
          <w:szCs w:val="24"/>
        </w:rPr>
        <w:t>свързаните с тях документи</w:t>
      </w:r>
      <w:r w:rsidR="00A95615" w:rsidRPr="00252C06">
        <w:rPr>
          <w:rFonts w:ascii="Times New Roman" w:hAnsi="Times New Roman"/>
          <w:sz w:val="24"/>
          <w:szCs w:val="24"/>
        </w:rPr>
        <w:t>.</w:t>
      </w:r>
    </w:p>
    <w:p w14:paraId="3C56463B" w14:textId="77777777" w:rsidR="009A0149" w:rsidRPr="00252C06" w:rsidRDefault="009A0149" w:rsidP="00DE6316">
      <w:pPr>
        <w:pStyle w:val="ListParagraph"/>
        <w:spacing w:after="120" w:line="276" w:lineRule="auto"/>
        <w:ind w:left="0" w:firstLine="709"/>
        <w:jc w:val="both"/>
        <w:rPr>
          <w:rFonts w:ascii="Times New Roman" w:hAnsi="Times New Roman"/>
          <w:sz w:val="24"/>
          <w:szCs w:val="24"/>
        </w:rPr>
      </w:pPr>
    </w:p>
    <w:sectPr w:rsidR="009A0149" w:rsidRPr="00252C06" w:rsidSect="00A912EA">
      <w:pgSz w:w="16838" w:h="11906" w:orient="landscape" w:code="9"/>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8FA18" w14:textId="77777777" w:rsidR="00E278EC" w:rsidRDefault="00E278EC" w:rsidP="00402ACA">
      <w:pPr>
        <w:spacing w:after="0" w:line="240" w:lineRule="auto"/>
      </w:pPr>
      <w:r>
        <w:separator/>
      </w:r>
    </w:p>
  </w:endnote>
  <w:endnote w:type="continuationSeparator" w:id="0">
    <w:p w14:paraId="0E3F2EE6" w14:textId="77777777" w:rsidR="00E278EC" w:rsidRDefault="00E278EC"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43FDEA58" w:rsidR="00991CB4" w:rsidRDefault="006C46DB">
        <w:pPr>
          <w:pStyle w:val="Footer"/>
          <w:jc w:val="right"/>
        </w:pPr>
        <w:r>
          <w:fldChar w:fldCharType="begin"/>
        </w:r>
        <w:r w:rsidR="00991CB4">
          <w:instrText xml:space="preserve"> PAGE   \* MERGEFORMAT </w:instrText>
        </w:r>
        <w:r>
          <w:fldChar w:fldCharType="separate"/>
        </w:r>
        <w:r w:rsidR="00E16A1F">
          <w:rPr>
            <w:noProof/>
          </w:rPr>
          <w:t>1</w:t>
        </w:r>
        <w:r>
          <w:rPr>
            <w:noProof/>
          </w:rPr>
          <w:fldChar w:fldCharType="end"/>
        </w:r>
      </w:p>
    </w:sdtContent>
  </w:sdt>
  <w:p w14:paraId="3BF3566A"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89E888" w14:textId="77777777" w:rsidR="00E278EC" w:rsidRDefault="00E278EC" w:rsidP="00402ACA">
      <w:pPr>
        <w:spacing w:after="0" w:line="240" w:lineRule="auto"/>
      </w:pPr>
      <w:r>
        <w:separator/>
      </w:r>
    </w:p>
  </w:footnote>
  <w:footnote w:type="continuationSeparator" w:id="0">
    <w:p w14:paraId="41EFDFC4" w14:textId="77777777" w:rsidR="00E278EC" w:rsidRDefault="00E278EC" w:rsidP="0040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1E10C139" w:rsidR="00402ACA" w:rsidRDefault="00A14DCD"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14:anchorId="65C52DD7" wp14:editId="587C897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noProof/>
        <w:lang w:eastAsia="bg-BG"/>
      </w:rPr>
      <w:drawing>
        <wp:anchor distT="0" distB="0" distL="114300" distR="114300" simplePos="0" relativeHeight="251658240" behindDoc="0" locked="0" layoutInCell="1" allowOverlap="1" wp14:anchorId="2594A816" wp14:editId="16B90AC9">
          <wp:simplePos x="0" y="0"/>
          <wp:positionH relativeFrom="column">
            <wp:posOffset>5049079</wp:posOffset>
          </wp:positionH>
          <wp:positionV relativeFrom="paragraph">
            <wp:posOffset>-342542</wp:posOffset>
          </wp:positionV>
          <wp:extent cx="1299845" cy="946150"/>
          <wp:effectExtent l="0" t="0" r="0" b="6350"/>
          <wp:wrapNone/>
          <wp:docPr id="2" name="Picture 2" descr="Logo ПТС BG V whit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ПТС BG V whitе"/>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9845" cy="946150"/>
                  </a:xfrm>
                  <a:prstGeom prst="rect">
                    <a:avLst/>
                  </a:prstGeom>
                  <a:noFill/>
                  <a:ln>
                    <a:noFill/>
                  </a:ln>
                </pic:spPr>
              </pic:pic>
            </a:graphicData>
          </a:graphic>
          <wp14:sizeRelH relativeFrom="page">
            <wp14:pctWidth>0</wp14:pctWidth>
          </wp14:sizeRelH>
          <wp14:sizeRelV relativeFrom="page">
            <wp14:pctHeight>0</wp14:pctHeight>
          </wp14:sizeRelV>
        </wp:anchor>
      </w:drawing>
    </w:r>
    <w:r w:rsidR="00522F04">
      <w:rPr>
        <w:rFonts w:ascii="Times New Roman" w:eastAsia="Times New Roman" w:hAnsi="Times New Roman"/>
        <w:i/>
        <w:noProof/>
        <w:sz w:val="24"/>
        <w:szCs w:val="24"/>
        <w:lang w:eastAsia="bg-BG"/>
      </w:rPr>
      <w:t xml:space="preserve">       </w:t>
    </w:r>
    <w:r>
      <w:rPr>
        <w:rFonts w:ascii="Times New Roman" w:eastAsia="Times New Roman" w:hAnsi="Times New Roman"/>
        <w:i/>
        <w:noProof/>
        <w:sz w:val="24"/>
        <w:szCs w:val="24"/>
        <w:lang w:eastAsia="bg-BG"/>
      </w:rPr>
      <w:t xml:space="preserve">           </w:t>
    </w:r>
    <w:r w:rsidR="00522F04">
      <w:rPr>
        <w:rFonts w:ascii="Times New Roman" w:eastAsia="Times New Roman" w:hAnsi="Times New Roman"/>
        <w:i/>
        <w:noProof/>
        <w:sz w:val="24"/>
        <w:szCs w:val="24"/>
        <w:lang w:eastAsia="bg-BG"/>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402ACA"/>
    <w:rsid w:val="00052C76"/>
    <w:rsid w:val="000A4C0A"/>
    <w:rsid w:val="000A6D9B"/>
    <w:rsid w:val="000A7D1B"/>
    <w:rsid w:val="000B6072"/>
    <w:rsid w:val="000C72E1"/>
    <w:rsid w:val="000F4DE9"/>
    <w:rsid w:val="00112ACA"/>
    <w:rsid w:val="00181A1C"/>
    <w:rsid w:val="001925A8"/>
    <w:rsid w:val="001B6AFC"/>
    <w:rsid w:val="001C4400"/>
    <w:rsid w:val="002262CD"/>
    <w:rsid w:val="00252C06"/>
    <w:rsid w:val="002665DE"/>
    <w:rsid w:val="002D3045"/>
    <w:rsid w:val="0033559F"/>
    <w:rsid w:val="0034268B"/>
    <w:rsid w:val="0035732F"/>
    <w:rsid w:val="00392C0D"/>
    <w:rsid w:val="00397070"/>
    <w:rsid w:val="003A35BB"/>
    <w:rsid w:val="003C05E1"/>
    <w:rsid w:val="003C31CA"/>
    <w:rsid w:val="003C4032"/>
    <w:rsid w:val="003D1FDC"/>
    <w:rsid w:val="003E07BC"/>
    <w:rsid w:val="003E2AA6"/>
    <w:rsid w:val="003E4A81"/>
    <w:rsid w:val="003E53B9"/>
    <w:rsid w:val="003F11B3"/>
    <w:rsid w:val="003F127D"/>
    <w:rsid w:val="00402ACA"/>
    <w:rsid w:val="0040632C"/>
    <w:rsid w:val="0040728E"/>
    <w:rsid w:val="00410461"/>
    <w:rsid w:val="0042512A"/>
    <w:rsid w:val="00427754"/>
    <w:rsid w:val="00454C6D"/>
    <w:rsid w:val="00456C38"/>
    <w:rsid w:val="0045731E"/>
    <w:rsid w:val="004613D2"/>
    <w:rsid w:val="00487A24"/>
    <w:rsid w:val="00493BA5"/>
    <w:rsid w:val="004D0AA1"/>
    <w:rsid w:val="004D5025"/>
    <w:rsid w:val="004D78D8"/>
    <w:rsid w:val="00522F04"/>
    <w:rsid w:val="00541617"/>
    <w:rsid w:val="005502B9"/>
    <w:rsid w:val="005A2D63"/>
    <w:rsid w:val="005C29C3"/>
    <w:rsid w:val="005C6AC1"/>
    <w:rsid w:val="005F04C4"/>
    <w:rsid w:val="00622EF3"/>
    <w:rsid w:val="00645185"/>
    <w:rsid w:val="006564B8"/>
    <w:rsid w:val="00691015"/>
    <w:rsid w:val="006A535F"/>
    <w:rsid w:val="006A54F4"/>
    <w:rsid w:val="006B43D7"/>
    <w:rsid w:val="006C46DB"/>
    <w:rsid w:val="006E063B"/>
    <w:rsid w:val="00707B43"/>
    <w:rsid w:val="007159A1"/>
    <w:rsid w:val="007240CB"/>
    <w:rsid w:val="007311CC"/>
    <w:rsid w:val="00734A59"/>
    <w:rsid w:val="00763DB7"/>
    <w:rsid w:val="00791E18"/>
    <w:rsid w:val="007D3A3A"/>
    <w:rsid w:val="007F019E"/>
    <w:rsid w:val="008137F7"/>
    <w:rsid w:val="00816DDA"/>
    <w:rsid w:val="008652E5"/>
    <w:rsid w:val="00894435"/>
    <w:rsid w:val="008A2B53"/>
    <w:rsid w:val="008B1316"/>
    <w:rsid w:val="008D4237"/>
    <w:rsid w:val="009134C3"/>
    <w:rsid w:val="009622AE"/>
    <w:rsid w:val="00971248"/>
    <w:rsid w:val="0098334F"/>
    <w:rsid w:val="00984A52"/>
    <w:rsid w:val="00991CB4"/>
    <w:rsid w:val="0099667C"/>
    <w:rsid w:val="009A0149"/>
    <w:rsid w:val="009B2846"/>
    <w:rsid w:val="009C5EB8"/>
    <w:rsid w:val="009D4213"/>
    <w:rsid w:val="009D49EC"/>
    <w:rsid w:val="009D5AFE"/>
    <w:rsid w:val="00A049DA"/>
    <w:rsid w:val="00A05ADF"/>
    <w:rsid w:val="00A14DCD"/>
    <w:rsid w:val="00A233EA"/>
    <w:rsid w:val="00A2514B"/>
    <w:rsid w:val="00A62A1B"/>
    <w:rsid w:val="00A721A0"/>
    <w:rsid w:val="00A81893"/>
    <w:rsid w:val="00A81F9E"/>
    <w:rsid w:val="00A82A33"/>
    <w:rsid w:val="00A912EA"/>
    <w:rsid w:val="00A9495C"/>
    <w:rsid w:val="00A94C80"/>
    <w:rsid w:val="00A95615"/>
    <w:rsid w:val="00AA22E0"/>
    <w:rsid w:val="00AB368B"/>
    <w:rsid w:val="00AD22F2"/>
    <w:rsid w:val="00AE7396"/>
    <w:rsid w:val="00B02714"/>
    <w:rsid w:val="00B035FE"/>
    <w:rsid w:val="00B16862"/>
    <w:rsid w:val="00B175A1"/>
    <w:rsid w:val="00B4545E"/>
    <w:rsid w:val="00B9758F"/>
    <w:rsid w:val="00BB52A1"/>
    <w:rsid w:val="00BF7EAD"/>
    <w:rsid w:val="00C13066"/>
    <w:rsid w:val="00C161DD"/>
    <w:rsid w:val="00C47C4D"/>
    <w:rsid w:val="00C5662F"/>
    <w:rsid w:val="00C63107"/>
    <w:rsid w:val="00CA50C2"/>
    <w:rsid w:val="00CA7836"/>
    <w:rsid w:val="00CE4009"/>
    <w:rsid w:val="00D43F14"/>
    <w:rsid w:val="00D551E4"/>
    <w:rsid w:val="00D8178D"/>
    <w:rsid w:val="00DE0AE2"/>
    <w:rsid w:val="00DE6316"/>
    <w:rsid w:val="00E066E6"/>
    <w:rsid w:val="00E12556"/>
    <w:rsid w:val="00E16A1F"/>
    <w:rsid w:val="00E22914"/>
    <w:rsid w:val="00E278EC"/>
    <w:rsid w:val="00E44CEF"/>
    <w:rsid w:val="00E530D5"/>
    <w:rsid w:val="00E534F5"/>
    <w:rsid w:val="00E80277"/>
    <w:rsid w:val="00E91B13"/>
    <w:rsid w:val="00EA0271"/>
    <w:rsid w:val="00EA40C7"/>
    <w:rsid w:val="00EF6A85"/>
    <w:rsid w:val="00F12A1D"/>
    <w:rsid w:val="00F150D2"/>
    <w:rsid w:val="00F34F47"/>
    <w:rsid w:val="00F3655F"/>
    <w:rsid w:val="00F4459A"/>
    <w:rsid w:val="00F531A1"/>
    <w:rsid w:val="00F53AD0"/>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FA341-70D6-4671-9255-EB8B0B5BC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1394</Words>
  <Characters>7948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Daniela Kalaydzhiyska-Ivanova</cp:lastModifiedBy>
  <cp:revision>29</cp:revision>
  <dcterms:created xsi:type="dcterms:W3CDTF">2023-03-07T09:13:00Z</dcterms:created>
  <dcterms:modified xsi:type="dcterms:W3CDTF">2025-11-24T10:48:00Z</dcterms:modified>
</cp:coreProperties>
</file>